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0" w:firstLineChars="100"/>
        <w:jc w:val="both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梅州柚示范基地建设项目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ascii="宋体" w:hAnsi="宋体" w:eastAsia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梅州柚示范基地建设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、项目建设目标和内容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为大力推进农业供给侧结构性改革，切实推进我市良地、良种、良法、良品的标准化进程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梅州市人民政府办公室关于印发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梅州柚产业发展工作实施方案（2021—2025 年）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围绕梅州柚“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扩面提质，强链增效”发展要求，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通过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（柑橘）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类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标准化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种植示范基地、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种业提升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示范基地，实施从农田到餐桌全过程的标准化、规范化管理，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同时推动梅州柚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（柑橘）品种改良和新品种引进工作，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全面提升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梅州柚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种业发展，提高梅州柚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（柑橘）产品质量和市场竞争力，加快农业转型发展，促进农业增效、农民增收，计划扶持建设一批梅州柚（柑橘）标准化种植示范基地和柚（柑橘）类种业提升示范基地。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项目建设目标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遴选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梅州柚（柑橘）标准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化种植示范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（柑橘）类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种业提升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示范基地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主要建设内容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梅州柚（柑橘）标准化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农业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基础</w:t>
      </w:r>
      <w:r>
        <w:rPr>
          <w:rFonts w:hint="eastAsia" w:ascii="仿宋_GB2312" w:eastAsia="仿宋_GB2312"/>
          <w:color w:val="auto"/>
          <w:sz w:val="32"/>
          <w:szCs w:val="32"/>
        </w:rPr>
        <w:t>设施、水肥一体化、农业机械化、植保防虫设施等硬件建设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此项建设财政资金投入不得低于项目申报财政资金的60%。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土壤改良，提升地力，有机肥代替化肥。此项建设财政资金投入不得高于项目申报财政资金的20%。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新品种引进示范推广、品种改良和提升。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标准化技术培训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示范、推广与应用。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农产品溯源体系、农产品质量安全管理体系、品牌化建设等。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项目申报单位要根据示范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基地</w:t>
      </w:r>
      <w:r>
        <w:rPr>
          <w:rFonts w:hint="eastAsia" w:ascii="仿宋_GB2312" w:eastAsia="仿宋_GB2312"/>
          <w:color w:val="auto"/>
          <w:sz w:val="32"/>
          <w:szCs w:val="32"/>
        </w:rPr>
        <w:t>建设实际需要按上述建设内容和要求做好资金细化安排。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柚（柑橘）类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种业提升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（1）建设智能设施大棚，种植和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展示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（柑橘）类种质资源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，设施大棚面积不低于3亩，并配套水肥一体化、植保防虫设施等相关设施、设备。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（2）完善基地内农业基础设施：建设设施道路等农业基础设施、购置农业机械等设备。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以上两项建设财政总资金投入不得低于项目申报财政资金的40%。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（3）柚（柑橘）类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种质资源圃建设：需收集和健康种植（保存）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40个以上柚（柑橘）类品种，并引进、示范、推广4个以上柚（柑橘）类优良新品种，每个品种示范种植面积10亩以上；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开展种质资源的保护、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展示、科普、</w:t>
      </w:r>
      <w:r>
        <w:rPr>
          <w:rFonts w:hint="eastAsia" w:ascii="仿宋_GB2312" w:eastAsia="仿宋_GB2312"/>
          <w:color w:val="auto"/>
          <w:sz w:val="32"/>
          <w:szCs w:val="32"/>
        </w:rPr>
        <w:t>培训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与宣传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此项建设财政资金投入不得低于项目申报财政资金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农业（种业）大数据应用、展示体验中心：配套智能化等设施、设备，对柚（柑橘）类进行新品种、新技术进行展示、宣传，对柚（柑橘）类种质资源收集、保护和利用等相关数据保存和处理。此项建设财政资金投入不得低于项目申报财政资金的40%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开展柚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（柑橘）类品种改良和利用等相关技术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培训，培训人数200（次）以上。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项目申报单位要根据示范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基地</w:t>
      </w:r>
      <w:r>
        <w:rPr>
          <w:rFonts w:hint="eastAsia" w:ascii="仿宋_GB2312" w:eastAsia="仿宋_GB2312"/>
          <w:color w:val="auto"/>
          <w:sz w:val="32"/>
          <w:szCs w:val="32"/>
        </w:rPr>
        <w:t>建设实际需要按上述建设内容和要求做好资金细化安排。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三、项目建设规模、补助额度和建设期限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梅州柚（柑橘）标准化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建设规模。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建设核心示范区面积200亩以上，要求按照高标准示范基地建设，基地要相对连片集中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示范带动面积10000亩以上。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补助额度。建设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梅州柚（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柑橘）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标准化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种植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示范基地，每个项目补助财政资金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900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项目资金按建设进度分期拨付。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项目实施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期限。2022年7月至2023年4月。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（二）柚（柑橘）类种业提升示范基地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建设规模。建设柚（柑橘）类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种业提升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示范基地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，其中：智能设施大棚面积不低于3亩，引进、示范、推广优良新品种4个以上，每个品种示范种植面积10亩以上；种质资源圃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收集和保存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柚（柑橘）类品种40个以上。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补助额度。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建设1个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柚（柑橘）类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种业提升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示范基地，项目补助财政资金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540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万元。项目资金按建设进度分期拨付。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项目实施期限。20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月至20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四、项目申报对象和条件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梅州柚（柑橘）标准化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申报对象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梅州柚生产经营的市级及以上农业龙头企业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已扶持实施过同类项目的基地不纳入申报范围。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基地基础。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现有基地建设规模不低于1000亩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，且</w:t>
      </w:r>
      <w:r>
        <w:rPr>
          <w:rFonts w:hint="eastAsia" w:ascii="仿宋_GB2312" w:eastAsia="仿宋_GB2312"/>
          <w:color w:val="auto"/>
          <w:sz w:val="32"/>
          <w:szCs w:val="32"/>
        </w:rPr>
        <w:t>基础条件较好，交通方便、有水源、生态环境较佳，有优化提升的潜力。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实施主体。有较强实力和科技支撑能力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没有农产品质量安全方面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和诚信方面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不良记录的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经营主体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其他条件。实施主体积极性高、有需求，当地政府重视支持，项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目所在地农民积极配合参与项目建设。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（二）柚（柑橘）类种业提升示范基地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申报对象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梅州柚生产经营的省级及以上农业龙头企业。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省级农业龙头企业及以上，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在行业中有一定影响力，近二年度主营业收入均在5千万元上。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现有生产基地建设规模不能低于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亩，要有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35亩以上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，基础条件较好，交通便利，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方便参观、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宣传、推广、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科普等的项目用地，并提供有效用地证明。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有较强实力和科技支撑能力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，具有一定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科研基础条件，具备研发试验场所，拥有市级工程研发中心及以上资质认定，近三年科研投入累计不低于300万以上，有自己的技术团队，并与科研院所、大学院校开展科技合作。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（4）有固定的培训场所及相关设施设备及师资力量，近三年有开展梅州柚农技推广、品种繁育与科普、以及产业发展等领域相关培训，累计超过5000人次。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五、项目申报程序和要求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申报程序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每个县（市、区）可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申报梅州柚（柑橘）标准化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种植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示范基地项目1-2个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申报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（柑橘）类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种业提升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示范基地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项目不超过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1个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，同一申报主体不得同时申报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标准化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种植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示范基地项目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种业提升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示范基地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项目。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各县（市、区）要按照公开、公平的原则，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</w:rPr>
        <w:t>择优把符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合条件、确实有生产需要、有建设意愿的申报单位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推荐上报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auto"/>
          <w:sz w:val="32"/>
          <w:szCs w:val="32"/>
        </w:rPr>
        <w:t>对申报项目的真实性、合法性负责。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申报要求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项目申报必须有项目所在地县（市、区）农业农村部门的请示文件，申报项目汇总表。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项目申报书（见附件格式）及有关附件。申报材料统一使用A4纸打印和复印，按顺序装订成册。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（三）项目申报时间。20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日前将申报材料一式5份上报市农业农村局种植业管理科，并将电子文档发送至邮箱（mzzzyk@126.com），逾期不予受理。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六、项目立项评审程序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项目实行竞争性分配，评审工作由梅州市农业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局负责组织。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600" w:lineRule="exact"/>
        <w:ind w:firstLine="645"/>
        <w:contextualSpacing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（一）设立评审专家组。市农业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局从专家库中按照专业要求选取种植业、设施农业、财务管理等专业专家组成专家组。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（二）专家评审。由专家组对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申报单位申报材料和生产</w:t>
      </w:r>
      <w:bookmarkStart w:id="0" w:name="_GoBack"/>
      <w:bookmarkEnd w:id="0"/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基地现场开展</w:t>
      </w:r>
      <w:r>
        <w:rPr>
          <w:rFonts w:hint="eastAsia" w:ascii="仿宋_GB2312" w:eastAsia="仿宋_GB2312"/>
          <w:color w:val="auto"/>
          <w:sz w:val="32"/>
          <w:szCs w:val="32"/>
        </w:rPr>
        <w:t>评审、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考察</w:t>
      </w:r>
      <w:r>
        <w:rPr>
          <w:rFonts w:hint="eastAsia" w:ascii="仿宋_GB2312" w:eastAsia="仿宋_GB2312"/>
          <w:color w:val="auto"/>
          <w:sz w:val="32"/>
          <w:szCs w:val="32"/>
        </w:rPr>
        <w:t>，确定拟立项的项目。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确定实施单位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经专家组评审确定项目的实施单位，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市农业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局审核后在梅州农业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信息网公示。公示无异议后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由我局下达项目计划。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单位编制项目实施方案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县级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农业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审核同意后，报市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农业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局批复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后实施。市农业农村局与项目实施所在县（市、区）农业农村局、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签订项目实施管理协议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七、管理要求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项目管理实行属地管理责任制。各县（市、区）要严格按照项目申报指南要求，认真抓好申报项目单位资质审查，遴选好实施单位，指导制定项目申报书，确保项目申报质量，并对申报项目的真实性负责。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280" w:hanging="1280" w:hanging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梅州柚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标准化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种植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278" w:leftChars="456" w:hanging="320" w:hangingChars="1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梅州柚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标准化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种植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1278" w:leftChars="456" w:hanging="320" w:hangingChars="100"/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（柑橘）类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种业提升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示范基地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1278" w:leftChars="456" w:hanging="320" w:hangingChars="100"/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（柑橘）类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种业提升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示范基地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1278" w:leftChars="456" w:hanging="320" w:hangingChars="100"/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rPr>
          <w:rFonts w:ascii="仿宋_GB2312" w:eastAsia="仿宋_GB2312"/>
          <w:b/>
          <w:bCs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278" w:leftChars="456" w:hanging="320" w:hangingChars="100"/>
        <w:jc w:val="both"/>
        <w:rPr>
          <w:rFonts w:ascii="黑体" w:eastAsia="黑体"/>
          <w:color w:val="auto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797" w:bottom="851" w:left="1797" w:header="851" w:footer="51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150" w:after="150" w:line="520" w:lineRule="exact"/>
        <w:jc w:val="both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附件1</w:t>
      </w:r>
    </w:p>
    <w:tbl>
      <w:tblPr>
        <w:tblStyle w:val="5"/>
        <w:tblpPr w:leftFromText="180" w:rightFromText="180" w:vertAnchor="text" w:tblpX="93" w:tblpY="1"/>
        <w:tblOverlap w:val="never"/>
        <w:tblW w:w="1458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905"/>
        <w:gridCol w:w="2400"/>
        <w:gridCol w:w="2085"/>
        <w:gridCol w:w="1155"/>
        <w:gridCol w:w="1515"/>
        <w:gridCol w:w="975"/>
        <w:gridCol w:w="960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5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3" w:firstLineChars="200"/>
              <w:jc w:val="center"/>
              <w:rPr>
                <w:rFonts w:ascii="方正小标宋简体" w:hAnsi="宋体" w:eastAsia="方正小标宋简体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梅州柚（柑橘）标准化种植示范基地申报汇总表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填报单位：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324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县（市）别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项目承担单位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建设地点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创建基地规模（亩）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主要品种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投资金额（万元）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主要建设内容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总投资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申请财政补助</w:t>
            </w:r>
          </w:p>
        </w:tc>
        <w:tc>
          <w:tcPr>
            <w:tcW w:w="22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填报人：                                                                                      填报时间：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ascii="黑体" w:hAnsi="黑体" w:eastAsia="黑体" w:cs="Times New Roman"/>
          <w:color w:val="auto"/>
          <w:sz w:val="32"/>
          <w:szCs w:val="32"/>
        </w:rPr>
        <w:sectPr>
          <w:pgSz w:w="16838" w:h="11906" w:orient="landscape"/>
          <w:pgMar w:top="1797" w:right="1440" w:bottom="1797" w:left="851" w:header="851" w:footer="51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  <w:lang w:eastAsia="zh-CN"/>
        </w:rPr>
        <w:t>梅州柚（柑橘）</w:t>
      </w:r>
      <w:r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</w:rPr>
        <w:t>标准化</w:t>
      </w:r>
      <w:r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  <w:lang w:eastAsia="zh-CN"/>
        </w:rPr>
        <w:t>种植</w:t>
      </w:r>
      <w:r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</w:rPr>
        <w:t>示范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  <w:lang w:eastAsia="zh-CN"/>
        </w:rPr>
        <w:t>基地</w:t>
      </w:r>
      <w:r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</w:rPr>
        <w:t>申报</w:t>
      </w:r>
      <w:r>
        <w:rPr>
          <w:rFonts w:hint="eastAsia" w:ascii="方正小标宋简体" w:hAnsi="宋体" w:eastAsia="方正小标宋简体" w:cs="黑体"/>
          <w:bCs/>
          <w:snapToGrid w:val="0"/>
          <w:color w:val="auto"/>
          <w:kern w:val="0"/>
          <w:sz w:val="44"/>
          <w:szCs w:val="44"/>
          <w:shd w:val="clear" w:color="auto" w:fill="FFFFFF"/>
          <w:lang w:eastAsia="zh-CN"/>
        </w:rPr>
        <w:t>书</w:t>
      </w:r>
    </w:p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ascii="仿宋_GB2312" w:hAnsi="仿宋_GB2312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964" w:firstLineChars="300"/>
        <w:jc w:val="both"/>
        <w:rPr>
          <w:rFonts w:ascii="仿宋_GB2312" w:hAnsi="Times New Roman" w:eastAsia="仿宋_GB2312" w:cs="Times New Roman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napToGrid w:val="0"/>
          <w:color w:val="auto"/>
          <w:kern w:val="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630" w:leftChars="300" w:firstLine="310" w:firstLineChars="97"/>
        <w:jc w:val="both"/>
        <w:rPr>
          <w:rFonts w:hint="default" w:ascii="仿宋_GB2312" w:hAnsi="宋体" w:eastAsia="仿宋_GB2312" w:cs="Times New Roman"/>
          <w:b/>
          <w:snapToGrid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承担单位（盖章）：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960" w:firstLineChars="300"/>
        <w:jc w:val="both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项目实施地址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联系人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联系人电话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</w:rPr>
        <w:t>项目建设期限：</w:t>
      </w:r>
      <w:r>
        <w:rPr>
          <w:rFonts w:ascii="仿宋_GB2312" w:hAnsi="仿宋_GB2312" w:cs="仿宋_GB2312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_GB2312" w:hAnsi="仿宋_GB2312" w:cs="仿宋_GB2312"/>
          <w:b w:val="0"/>
          <w:bCs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</w:t>
      </w:r>
    </w:p>
    <w:p>
      <w:pPr>
        <w:tabs>
          <w:tab w:val="left" w:pos="3750"/>
          <w:tab w:val="left" w:pos="7875"/>
          <w:tab w:val="left" w:pos="819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项目申报日期：</w:t>
      </w:r>
      <w:r>
        <w:rPr>
          <w:rFonts w:ascii="仿宋_GB2312" w:eastAsia="仿宋_GB2312" w:cs="仿宋_GB2312"/>
          <w:sz w:val="32"/>
          <w:szCs w:val="32"/>
          <w:u w:val="single"/>
        </w:rPr>
        <w:tab/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cs="仿宋_GB2312"/>
          <w:u w:val="single"/>
        </w:rPr>
        <w:t xml:space="preserve">                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梅州市农业农村局制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964" w:firstLineChars="300"/>
        <w:jc w:val="both"/>
        <w:rPr>
          <w:rFonts w:ascii="仿宋_GB2312" w:hAnsi="宋体" w:eastAsia="仿宋_GB2312" w:cs="Times New Roman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napToGrid w:val="0"/>
          <w:color w:val="auto"/>
          <w:kern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一、基本情况及现有基础条件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1.承担单位概况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2.园地建设：建设地点、产地环境（最好附有评价或检测报告）、标准化建设基地规模、作物品种及园地基础设施配套等情况；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3.栽培管理：技术力量和技术依托、是否有制定生产技术规程、目前实施的生态栽培技术，肥水管理、病虫害防控、田园清洁等情况；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4.商品化处理：设施设备、分等分级、包装标识等情况；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5.品牌建设：质量安全、产品认证、产品品牌等情况；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6.质量管理：制度建设、农资使用及管理、档案记录、产品检测、质量追溯等情况；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7.目前基地的生产水平、生产效益、示范带动等情况。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项目建设可行性、必要性。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三、项目目标及成效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四、项目建设内容及资金概算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其中申请财政资金补助的建设内容及预算要逐项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细列出。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五、项目实施进度（20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月至20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月）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六、项目实施的主要组织管理与保障措施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相关附件材料：（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1）营业执照（注册登记证书）复印件；（2）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亩以上的生产基地的有效证明；（3）20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年度和20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财务审计报告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；（4）农产品生产记录及配套管理制度；（5）质量认证文件复印件；（6）近2年农产品质量安全检测报告；（7）相关荣誉证书复印件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）其他佐证材料。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pStyle w:val="7"/>
        <w:snapToGrid w:val="0"/>
        <w:spacing w:before="0" w:line="590" w:lineRule="exact"/>
        <w:jc w:val="center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审核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情况</w:t>
      </w:r>
    </w:p>
    <w:p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cs="仿宋_GB2312"/>
          <w:sz w:val="24"/>
        </w:rPr>
      </w:pPr>
    </w:p>
    <w:tbl>
      <w:tblPr>
        <w:tblStyle w:val="5"/>
        <w:tblpPr w:leftFromText="180" w:rightFromText="180" w:vertAnchor="text" w:tblpY="1"/>
        <w:tblOverlap w:val="never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项目申报单位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意见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法人代表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ind w:firstLine="2324" w:firstLineChars="83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单位公章：</w:t>
            </w:r>
          </w:p>
          <w:p>
            <w:pPr>
              <w:adjustRightInd w:val="0"/>
              <w:snapToGrid w:val="0"/>
              <w:spacing w:line="400" w:lineRule="exact"/>
              <w:ind w:firstLine="2324" w:firstLineChars="83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9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级农业农村部门意见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ind w:firstLine="1932" w:firstLineChars="69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单位公章：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9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级农业农村部门意见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ind w:firstLine="1932" w:firstLineChars="69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单位公章：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/>
          <w:color w:val="auto"/>
        </w:rPr>
        <w:sectPr>
          <w:pgSz w:w="11906" w:h="16838"/>
          <w:pgMar w:top="1440" w:right="1797" w:bottom="851" w:left="179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tbl>
      <w:tblPr>
        <w:tblStyle w:val="5"/>
        <w:tblW w:w="14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905"/>
        <w:gridCol w:w="2400"/>
        <w:gridCol w:w="2085"/>
        <w:gridCol w:w="1155"/>
        <w:gridCol w:w="1515"/>
        <w:gridCol w:w="975"/>
        <w:gridCol w:w="960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14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both"/>
              <w:rPr>
                <w:rFonts w:hint="eastAsia" w:ascii="黑体" w:hAnsi="黑体" w:eastAsia="黑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柚（柑橘）类种业提升示范基地申报汇总表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填报单位：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县（市）别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建设地点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项目用地规模（亩）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实际建设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规模（亩）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投资金额（万元）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主要建设内容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申请财政补助</w:t>
            </w:r>
          </w:p>
        </w:tc>
        <w:tc>
          <w:tcPr>
            <w:tcW w:w="1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填报人：                                                                                      填报时间：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黑体" w:hAnsi="黑体" w:eastAsia="黑体" w:cs="Times New Roman"/>
          <w:color w:val="auto"/>
          <w:sz w:val="32"/>
          <w:szCs w:val="32"/>
        </w:rPr>
        <w:sectPr>
          <w:pgSz w:w="16838" w:h="11906" w:orient="landscape"/>
          <w:pgMar w:top="1797" w:right="1440" w:bottom="1797" w:left="85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柚（柑橘）类种业提升示范基地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申报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hint="eastAsia" w:ascii="仿宋_GB2312" w:hAnsi="仿宋_GB2312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630" w:leftChars="300" w:firstLine="310" w:firstLineChars="97"/>
        <w:jc w:val="both"/>
        <w:rPr>
          <w:rFonts w:hint="default" w:ascii="仿宋_GB2312" w:hAnsi="宋体" w:eastAsia="仿宋_GB2312" w:cs="Times New Roman"/>
          <w:b/>
          <w:snapToGrid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承担单位（盖章）：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960" w:firstLineChars="300"/>
        <w:jc w:val="both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项目实施地址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联系人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联系人电话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tabs>
          <w:tab w:val="left" w:pos="3750"/>
        </w:tabs>
        <w:adjustRightInd w:val="0"/>
        <w:snapToGrid w:val="0"/>
        <w:spacing w:line="590" w:lineRule="exact"/>
        <w:ind w:firstLine="960" w:firstLineChars="3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</w:rPr>
        <w:t>项目建设期限：</w:t>
      </w:r>
      <w:r>
        <w:rPr>
          <w:rFonts w:ascii="仿宋_GB2312" w:hAnsi="仿宋_GB2312" w:cs="仿宋_GB2312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_GB2312" w:hAnsi="仿宋_GB2312" w:cs="仿宋_GB2312"/>
          <w:b w:val="0"/>
          <w:bCs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cs="仿宋_GB2312"/>
          <w:sz w:val="32"/>
          <w:szCs w:val="32"/>
          <w:u w:val="single"/>
        </w:rPr>
        <w:t xml:space="preserve"> </w:t>
      </w:r>
    </w:p>
    <w:p>
      <w:pPr>
        <w:tabs>
          <w:tab w:val="left" w:pos="3750"/>
          <w:tab w:val="left" w:pos="7875"/>
          <w:tab w:val="left" w:pos="8190"/>
        </w:tabs>
        <w:adjustRightInd w:val="0"/>
        <w:snapToGrid w:val="0"/>
        <w:spacing w:line="590" w:lineRule="exact"/>
        <w:ind w:firstLine="960" w:firstLineChars="300"/>
        <w:rPr>
          <w:rFonts w:hint="default" w:ascii="仿宋_GB2312" w:eastAsia="宋体" w:cs="仿宋_GB231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项目申报日期：</w:t>
      </w:r>
      <w:r>
        <w:rPr>
          <w:rFonts w:ascii="仿宋_GB2312" w:eastAsia="仿宋_GB2312" w:cs="仿宋_GB2312"/>
          <w:sz w:val="32"/>
          <w:szCs w:val="32"/>
          <w:u w:val="single"/>
        </w:rPr>
        <w:tab/>
      </w:r>
      <w:r>
        <w:rPr>
          <w:rFonts w:ascii="仿宋_GB2312" w:hAnsi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cs="仿宋_GB2312"/>
          <w:u w:val="single"/>
        </w:rPr>
        <w:t xml:space="preserve">                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梅州市农业农村局制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rPr>
          <w:rFonts w:ascii="仿宋_GB2312" w:hAnsi="宋体" w:eastAsia="仿宋_GB2312" w:cs="Times New Roman"/>
          <w:b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一、项目承担单位；（发展历程、主营业务、经营模式、管理制度、人员结构、技术力量和成果、级别认定等）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二、现有基础条件（基地情况、科技投入情况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培训推广情况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三、项目概况（项目由来、项目可行性和必要性等）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四、项目目标及成效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五、项目建设内容（含规划方案和效果图）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六、资金概算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其中申请财政资金补助的建设内容及预算要逐项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详细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列出。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 xml:space="preserve">七、项目实施进度（2021年  月至2022年 月）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八、项目实施的主要组织管理与保障措施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九、相关附件材料：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1）营业执照（注册登记证书）复印件；（2）3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亩项目用地的有效证明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亩以上的生产基地的有效证明；（3）20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年度和20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年度财务审计报告；（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科研投入、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研发设备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（5）技术团队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科研院所合作证明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培训证明；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）相关荣誉证书复印件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）其他佐证材料。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pStyle w:val="7"/>
        <w:snapToGrid w:val="0"/>
        <w:spacing w:before="0" w:line="590" w:lineRule="exact"/>
        <w:jc w:val="center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审核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情况</w:t>
      </w:r>
    </w:p>
    <w:p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cs="仿宋_GB2312"/>
          <w:sz w:val="24"/>
        </w:rPr>
      </w:pPr>
    </w:p>
    <w:tbl>
      <w:tblPr>
        <w:tblStyle w:val="5"/>
        <w:tblpPr w:leftFromText="180" w:rightFromText="180" w:vertAnchor="text" w:tblpY="1"/>
        <w:tblOverlap w:val="never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项目申报单位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意见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法人代表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ind w:firstLine="2324" w:firstLineChars="83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单位公章：</w:t>
            </w:r>
          </w:p>
          <w:p>
            <w:pPr>
              <w:adjustRightInd w:val="0"/>
              <w:snapToGrid w:val="0"/>
              <w:spacing w:line="400" w:lineRule="exact"/>
              <w:ind w:firstLine="2324" w:firstLineChars="83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9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级农业农村部门意见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ind w:firstLine="1932" w:firstLineChars="69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单位公章：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9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级农业农村部门意见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ind w:firstLine="1932" w:firstLineChars="69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单位公章：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/>
          <w:color w:val="auto"/>
        </w:rPr>
        <w:sectPr>
          <w:pgSz w:w="11906" w:h="16838"/>
          <w:pgMar w:top="1440" w:right="1797" w:bottom="851" w:left="179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5440" w:firstLineChars="17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color w:val="auto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  <w:t>5：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 w:cs="仿宋_GB2312"/>
          <w:b/>
          <w:snapToGrid w:val="0"/>
          <w:kern w:val="0"/>
          <w:sz w:val="44"/>
          <w:szCs w:val="44"/>
        </w:rPr>
      </w:pPr>
      <w:r>
        <w:rPr>
          <w:rFonts w:hint="eastAsia" w:ascii="宋体" w:hAnsi="宋体" w:cs="仿宋_GB2312"/>
          <w:b/>
          <w:snapToGrid w:val="0"/>
          <w:kern w:val="0"/>
          <w:sz w:val="44"/>
          <w:szCs w:val="44"/>
        </w:rPr>
        <w:t>承</w:t>
      </w:r>
      <w:r>
        <w:rPr>
          <w:rFonts w:ascii="宋体" w:hAnsi="宋体" w:cs="仿宋_GB2312"/>
          <w:b/>
          <w:snapToGrid w:val="0"/>
          <w:kern w:val="0"/>
          <w:sz w:val="44"/>
          <w:szCs w:val="44"/>
        </w:rPr>
        <w:t xml:space="preserve">  </w:t>
      </w:r>
      <w:r>
        <w:rPr>
          <w:rFonts w:hint="eastAsia" w:ascii="宋体" w:hAnsi="宋体" w:cs="仿宋_GB2312"/>
          <w:b/>
          <w:snapToGrid w:val="0"/>
          <w:kern w:val="0"/>
          <w:sz w:val="44"/>
          <w:szCs w:val="44"/>
        </w:rPr>
        <w:t>诺</w:t>
      </w:r>
      <w:r>
        <w:rPr>
          <w:rFonts w:ascii="宋体" w:hAnsi="宋体" w:cs="仿宋_GB2312"/>
          <w:b/>
          <w:snapToGrid w:val="0"/>
          <w:kern w:val="0"/>
          <w:sz w:val="44"/>
          <w:szCs w:val="44"/>
        </w:rPr>
        <w:t xml:space="preserve">  </w:t>
      </w:r>
      <w:r>
        <w:rPr>
          <w:rFonts w:hint="eastAsia" w:ascii="宋体" w:hAnsi="宋体" w:cs="仿宋_GB2312"/>
          <w:b/>
          <w:snapToGrid w:val="0"/>
          <w:kern w:val="0"/>
          <w:sz w:val="44"/>
          <w:szCs w:val="44"/>
        </w:rPr>
        <w:t>书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b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本单位已经知晓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申报要求，组织编写了《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项目申报书》，现作如下承诺：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一、申报材料齐全、真实，符合国家相关政策和扶持范围。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二、严格按照专项资金管理要求和财务制度要求，对项目资金实行专账管理，专款专用，确保报账凭证真实、完整。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三、积极配合有关职能部门的监督检查。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四、按期完成项目建设任务，及时将项目实施情况报告主管部门，及时上交项目总结和绩效评价材料。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五、如出现申报材料不真实、弄虚作假等情况，我单位愿意承担一切法律责任。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pStyle w:val="8"/>
        <w:adjustRightInd w:val="0"/>
        <w:snapToGrid w:val="0"/>
        <w:spacing w:line="590" w:lineRule="exact"/>
        <w:ind w:left="720" w:firstLine="0" w:firstLineChars="0"/>
        <w:jc w:val="righ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单位名称（盖章）</w:t>
      </w:r>
    </w:p>
    <w:p>
      <w:pPr>
        <w:pStyle w:val="8"/>
        <w:adjustRightInd w:val="0"/>
        <w:snapToGrid w:val="0"/>
        <w:spacing w:line="590" w:lineRule="exact"/>
        <w:ind w:left="720" w:firstLine="0" w:firstLineChars="0"/>
        <w:jc w:val="righ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pStyle w:val="8"/>
        <w:adjustRightInd w:val="0"/>
        <w:snapToGrid w:val="0"/>
        <w:spacing w:line="590" w:lineRule="exact"/>
        <w:ind w:left="720" w:firstLine="0" w:firstLineChars="0"/>
        <w:jc w:val="righ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法人代表（签名）</w:t>
      </w:r>
    </w:p>
    <w:p>
      <w:pPr>
        <w:pStyle w:val="8"/>
        <w:adjustRightInd w:val="0"/>
        <w:snapToGrid w:val="0"/>
        <w:spacing w:line="590" w:lineRule="exact"/>
        <w:ind w:left="720" w:firstLine="0" w:firstLineChars="0"/>
        <w:jc w:val="righ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pStyle w:val="8"/>
        <w:wordWrap w:val="0"/>
        <w:adjustRightInd w:val="0"/>
        <w:snapToGrid w:val="0"/>
        <w:spacing w:line="590" w:lineRule="exact"/>
        <w:ind w:left="720" w:right="480" w:firstLine="0" w:firstLineChars="0"/>
        <w:jc w:val="right"/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</w:t>
      </w:r>
    </w:p>
    <w:sectPr>
      <w:pgSz w:w="11906" w:h="16838"/>
      <w:pgMar w:top="1440" w:right="1797" w:bottom="850" w:left="179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TQ5MjU2ZGY0ZTAwMTgyYjdjZWJhOWY5YzM2NjUifQ=="/>
  </w:docVars>
  <w:rsids>
    <w:rsidRoot w:val="7C222FF0"/>
    <w:rsid w:val="2F3C5DE5"/>
    <w:rsid w:val="44404661"/>
    <w:rsid w:val="4A05767E"/>
    <w:rsid w:val="5C8937CD"/>
    <w:rsid w:val="7AB53CD5"/>
    <w:rsid w:val="7C222FF0"/>
    <w:rsid w:val="7FBD7782"/>
    <w:rsid w:val="7FDF4A82"/>
    <w:rsid w:val="D6CEC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样式3"/>
    <w:basedOn w:val="1"/>
    <w:qFormat/>
    <w:uiPriority w:val="0"/>
    <w:pPr>
      <w:adjustRightInd w:val="0"/>
      <w:spacing w:before="20" w:line="324" w:lineRule="auto"/>
      <w:jc w:val="center"/>
      <w:textAlignment w:val="baseline"/>
    </w:pPr>
    <w:rPr>
      <w:rFonts w:ascii="宋体" w:hAnsi="宋体" w:eastAsia="方正楷体_GBK" w:cs="Times New Roman"/>
      <w:spacing w:val="4"/>
      <w:szCs w:val="20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4345</Words>
  <Characters>4480</Characters>
  <Lines>0</Lines>
  <Paragraphs>0</Paragraphs>
  <TotalTime>2</TotalTime>
  <ScaleCrop>false</ScaleCrop>
  <LinksUpToDate>false</LinksUpToDate>
  <CharactersWithSpaces>5971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2022-06-24T01:17:00Z</dcterms:created>
  <dc:creator>梅塘湾</dc:creator>
  <cp:lastModifiedBy>梅塘湾</cp:lastModifiedBy>
  <dcterms:modified xsi:type="dcterms:W3CDTF">2022-07-04T03:28:03Z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6AEB3E8E02254B12B3FCC9F73CD20833</vt:lpwstr>
  </property>
</Properties>
</file>