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z w:val="32"/>
          <w:szCs w:val="32"/>
          <w:lang w:val="en-US" w:eastAsia="zh-CN" w:bidi="ar"/>
        </w:rPr>
      </w:pPr>
      <w:bookmarkStart w:id="0" w:name="_GoBack"/>
      <w:bookmarkEnd w:id="0"/>
      <w:r>
        <w:rPr>
          <w:rFonts w:hint="default"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4</w:t>
      </w:r>
    </w:p>
    <w:p>
      <w:pPr>
        <w:pStyle w:val="2"/>
        <w:rPr>
          <w:rFonts w:hint="eastAsia"/>
        </w:rPr>
      </w:pPr>
    </w:p>
    <w:p>
      <w:pPr>
        <w:pStyle w:val="2"/>
        <w:jc w:val="center"/>
        <w:rPr>
          <w:rFonts w:hint="eastAsia" w:ascii="Times New Roman" w:hAnsi="Times New Roman" w:eastAsia="宋体" w:cs="Times New Roman"/>
          <w:b/>
          <w:bCs/>
          <w:i w:val="0"/>
          <w:color w:val="000000"/>
          <w:kern w:val="0"/>
          <w:sz w:val="44"/>
          <w:szCs w:val="44"/>
          <w:u w:val="none"/>
          <w:lang w:val="en-US" w:eastAsia="zh-CN" w:bidi="ar"/>
        </w:rPr>
      </w:pPr>
      <w:r>
        <w:rPr>
          <w:rFonts w:hint="eastAsia" w:ascii="Times New Roman" w:hAnsi="Times New Roman" w:eastAsia="宋体" w:cs="Times New Roman"/>
          <w:b/>
          <w:bCs/>
          <w:i w:val="0"/>
          <w:color w:val="000000"/>
          <w:kern w:val="0"/>
          <w:sz w:val="44"/>
          <w:szCs w:val="44"/>
          <w:u w:val="none"/>
          <w:lang w:val="en-US" w:eastAsia="zh-CN" w:bidi="ar"/>
        </w:rPr>
        <w:t>2023年</w:t>
      </w:r>
      <w:r>
        <w:rPr>
          <w:rFonts w:hint="eastAsia" w:cs="Times New Roman"/>
          <w:b/>
          <w:bCs/>
          <w:i w:val="0"/>
          <w:color w:val="000000"/>
          <w:kern w:val="0"/>
          <w:sz w:val="44"/>
          <w:szCs w:val="44"/>
          <w:u w:val="none"/>
          <w:lang w:val="en-US" w:eastAsia="zh-CN" w:bidi="ar"/>
        </w:rPr>
        <w:t>梅州市梅江区客家预制菜产业园</w:t>
      </w:r>
      <w:r>
        <w:rPr>
          <w:rFonts w:hint="eastAsia" w:ascii="Times New Roman" w:hAnsi="Times New Roman" w:eastAsia="宋体" w:cs="Times New Roman"/>
          <w:b/>
          <w:bCs/>
          <w:i w:val="0"/>
          <w:color w:val="000000"/>
          <w:kern w:val="0"/>
          <w:sz w:val="44"/>
          <w:szCs w:val="44"/>
          <w:u w:val="none"/>
          <w:lang w:val="en-US" w:eastAsia="zh-CN" w:bidi="ar"/>
        </w:rPr>
        <w:t>资金使用计划表</w:t>
      </w:r>
    </w:p>
    <w:tbl>
      <w:tblPr>
        <w:tblStyle w:val="5"/>
        <w:tblW w:w="4998" w:type="pct"/>
        <w:tblInd w:w="0" w:type="dxa"/>
        <w:tblLayout w:type="autofit"/>
        <w:tblCellMar>
          <w:top w:w="15" w:type="dxa"/>
          <w:left w:w="15" w:type="dxa"/>
          <w:bottom w:w="15" w:type="dxa"/>
          <w:right w:w="15" w:type="dxa"/>
        </w:tblCellMar>
      </w:tblPr>
      <w:tblGrid>
        <w:gridCol w:w="803"/>
        <w:gridCol w:w="1253"/>
        <w:gridCol w:w="1107"/>
        <w:gridCol w:w="4455"/>
        <w:gridCol w:w="1320"/>
        <w:gridCol w:w="1598"/>
        <w:gridCol w:w="1087"/>
        <w:gridCol w:w="1158"/>
      </w:tblGrid>
      <w:tr>
        <w:tblPrEx>
          <w:tblCellMar>
            <w:top w:w="15" w:type="dxa"/>
            <w:left w:w="15" w:type="dxa"/>
            <w:bottom w:w="15" w:type="dxa"/>
            <w:right w:w="15" w:type="dxa"/>
          </w:tblCellMar>
        </w:tblPrEx>
        <w:trPr>
          <w:trHeight w:val="454" w:hRule="atLeast"/>
        </w:trPr>
        <w:tc>
          <w:tcPr>
            <w:tcW w:w="31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序号</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项目名称</w:t>
            </w:r>
          </w:p>
        </w:tc>
        <w:tc>
          <w:tcPr>
            <w:tcW w:w="43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建设地点</w:t>
            </w:r>
          </w:p>
        </w:tc>
        <w:tc>
          <w:tcPr>
            <w:tcW w:w="174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建设内容（概算）</w:t>
            </w:r>
          </w:p>
        </w:tc>
        <w:tc>
          <w:tcPr>
            <w:tcW w:w="51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投资估算（万元）</w:t>
            </w:r>
          </w:p>
        </w:tc>
        <w:tc>
          <w:tcPr>
            <w:tcW w:w="1503"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kern w:val="0"/>
                <w:sz w:val="24"/>
                <w:szCs w:val="24"/>
                <w:lang w:bidi="ar"/>
              </w:rPr>
            </w:pPr>
            <w:r>
              <w:rPr>
                <w:rFonts w:hint="eastAsia" w:ascii="黑体" w:hAnsi="黑体" w:eastAsia="黑体" w:cs="黑体"/>
                <w:b/>
                <w:bCs/>
                <w:kern w:val="0"/>
                <w:sz w:val="24"/>
                <w:szCs w:val="24"/>
                <w:lang w:bidi="ar"/>
              </w:rPr>
              <w:t>资金来源（万元）</w:t>
            </w:r>
          </w:p>
        </w:tc>
      </w:tr>
      <w:tr>
        <w:tblPrEx>
          <w:tblCellMar>
            <w:top w:w="15" w:type="dxa"/>
            <w:left w:w="15" w:type="dxa"/>
            <w:bottom w:w="15" w:type="dxa"/>
            <w:right w:w="15" w:type="dxa"/>
          </w:tblCellMar>
        </w:tblPrEx>
        <w:trPr>
          <w:trHeight w:val="454" w:hRule="atLeast"/>
        </w:trPr>
        <w:tc>
          <w:tcPr>
            <w:tcW w:w="31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174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51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省级财政补助资金</w:t>
            </w: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kern w:val="0"/>
                <w:sz w:val="24"/>
                <w:szCs w:val="24"/>
                <w:lang w:val="en-US" w:eastAsia="zh-CN" w:bidi="ar"/>
              </w:rPr>
            </w:pPr>
            <w:r>
              <w:rPr>
                <w:rFonts w:hint="eastAsia" w:ascii="黑体" w:hAnsi="黑体" w:eastAsia="黑体" w:cs="黑体"/>
                <w:b/>
                <w:bCs/>
                <w:kern w:val="0"/>
                <w:sz w:val="24"/>
                <w:szCs w:val="24"/>
                <w:lang w:val="en-US" w:eastAsia="zh-CN" w:bidi="ar"/>
              </w:rPr>
              <w:t>区级统筹资金</w:t>
            </w: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企业自筹资金</w:t>
            </w: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942" w:firstLineChars="391"/>
              <w:rPr>
                <w:rFonts w:hint="eastAsia" w:ascii="仿宋" w:hAnsi="仿宋" w:eastAsia="仿宋" w:cs="仿宋"/>
                <w:b/>
                <w:bCs/>
                <w:sz w:val="24"/>
                <w:szCs w:val="24"/>
              </w:rPr>
            </w:pPr>
            <w:r>
              <w:rPr>
                <w:rFonts w:hint="eastAsia" w:ascii="仿宋" w:hAnsi="仿宋" w:eastAsia="仿宋" w:cs="仿宋"/>
                <w:b/>
                <w:bCs/>
                <w:kern w:val="0"/>
                <w:sz w:val="24"/>
                <w:szCs w:val="24"/>
                <w:lang w:bidi="ar"/>
              </w:rPr>
              <w:t>一、农业设施</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参考标准：生产大棚和加工用房、节水灌溉、水肥一体化、产业园核心区道路改造、供水供电等设施设备补助</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二</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土地流转</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参考标准：主要指产业园特别是核心区土地流转的租金补助</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三</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产业融合</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参考标准：产业园农产品生产加工设备设施、产品储藏、冷链配送和流通设施的升级改造、新产业新业态设施配套等补助</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四</w:t>
            </w:r>
            <w:r>
              <w:rPr>
                <w:rFonts w:hint="eastAsia" w:ascii="仿宋" w:hAnsi="仿宋" w:eastAsia="仿宋" w:cs="仿宋"/>
                <w:b/>
                <w:bCs/>
                <w:iCs/>
                <w:kern w:val="0"/>
                <w:sz w:val="24"/>
                <w:szCs w:val="24"/>
                <w:lang w:bidi="ar"/>
              </w:rPr>
              <w:t>、</w:t>
            </w:r>
            <w:r>
              <w:rPr>
                <w:rFonts w:hint="eastAsia" w:ascii="仿宋" w:hAnsi="仿宋" w:eastAsia="仿宋" w:cs="仿宋"/>
                <w:b/>
                <w:iCs/>
                <w:kern w:val="0"/>
                <w:sz w:val="24"/>
                <w:szCs w:val="24"/>
                <w:lang w:bidi="ar"/>
              </w:rPr>
              <w:t>科技研发与信息支撑</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参考标准：信息化建设、技术研发和成果转换、检验检测设施设备增加等方面补助</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五</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农业品牌</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参考标准：产业园主导产业产品品牌宣传和打造特色地方区域公用品牌等补助</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六</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贷款贴息</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参考标准：产业园实施主体投贷补等方式撬动更多社会资本投资产业园建设资金利息补助，贴息额不超过该企业产业园项目贷款利息总额的 50%（按基准贷款利率计算）。</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1237"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iCs/>
                <w:kern w:val="0"/>
                <w:sz w:val="24"/>
                <w:szCs w:val="24"/>
                <w:lang w:bidi="ar"/>
              </w:rPr>
              <w:t>七</w:t>
            </w:r>
            <w:r>
              <w:rPr>
                <w:rFonts w:hint="eastAsia" w:ascii="仿宋" w:hAnsi="仿宋" w:eastAsia="仿宋" w:cs="仿宋"/>
                <w:b/>
                <w:iCs/>
                <w:kern w:val="0"/>
                <w:sz w:val="24"/>
                <w:szCs w:val="24"/>
                <w:lang w:eastAsia="en-US" w:bidi="ar"/>
              </w:rPr>
              <w:t>、</w:t>
            </w:r>
            <w:r>
              <w:rPr>
                <w:rFonts w:hint="eastAsia" w:ascii="仿宋" w:hAnsi="仿宋" w:eastAsia="仿宋" w:cs="仿宋"/>
                <w:b/>
                <w:iCs/>
                <w:kern w:val="0"/>
                <w:sz w:val="24"/>
                <w:szCs w:val="24"/>
                <w:lang w:bidi="ar"/>
              </w:rPr>
              <w:t>联农带农</w:t>
            </w: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参考标准：安排一定比例的补助资金折股量化到产业园所在地的相对贫困村和贫困户，特别是建档立卡的贫困户，并承诺每年保底分红）。</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31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4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7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54" w:hRule="atLeast"/>
        </w:trPr>
        <w:tc>
          <w:tcPr>
            <w:tcW w:w="80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合计</w:t>
            </w:r>
          </w:p>
        </w:tc>
        <w:tc>
          <w:tcPr>
            <w:tcW w:w="217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（项目个数）</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6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5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rPr>
                <w:rFonts w:hint="eastAsia" w:ascii="仿宋" w:hAnsi="仿宋" w:eastAsia="仿宋" w:cs="仿宋"/>
                <w:sz w:val="24"/>
                <w:szCs w:val="24"/>
              </w:rPr>
            </w:pPr>
          </w:p>
        </w:tc>
      </w:tr>
    </w:tbl>
    <w:p>
      <w:pPr>
        <w:spacing w:line="560" w:lineRule="exact"/>
        <w:jc w:val="left"/>
        <w:rPr>
          <w:rFonts w:hint="eastAsia" w:ascii="仿宋" w:hAnsi="仿宋" w:eastAsia="仿宋" w:cs="仿宋"/>
          <w:sz w:val="24"/>
          <w:szCs w:val="24"/>
        </w:rPr>
      </w:pPr>
    </w:p>
    <w:p/>
    <w:p/>
    <w:sectPr>
      <w:footerReference r:id="rId3" w:type="default"/>
      <w:pgSz w:w="16838" w:h="11906" w:orient="landscape"/>
      <w:pgMar w:top="1531" w:right="2098" w:bottom="1531" w:left="1984" w:header="851" w:footer="1134"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zQ0NGIxZjYzNmFiYzYxYzJkMDA5MTEzMjQzYjgifQ=="/>
  </w:docVars>
  <w:rsids>
    <w:rsidRoot w:val="695E5730"/>
    <w:rsid w:val="695E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2022-07-20T06:51:00Z</dcterms:created>
  <dc:creator>小罗CC</dc:creator>
  <cp:lastModifiedBy>小罗CC</cp:lastModifiedBy>
  <dcterms:modified xsi:type="dcterms:W3CDTF">2022-07-20T06:52:26Z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4A2FD9A589BE4F329520142BCEEBD5BE</vt:lpwstr>
  </property>
</Properties>
</file>