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p>
      <w:pPr>
        <w:snapToGrid w:val="0"/>
        <w:spacing w:line="400" w:lineRule="exact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年度火灾高危单位名单</w:t>
      </w:r>
    </w:p>
    <w:bookmarkEnd w:id="0"/>
    <w:p>
      <w:pPr>
        <w:spacing w:line="600" w:lineRule="exact"/>
        <w:jc w:val="center"/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  <w:t>（202</w:t>
      </w: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  <w:t>年度  共</w:t>
      </w:r>
      <w:r>
        <w:rPr>
          <w:rFonts w:hint="eastAsia" w:ascii="文星仿宋" w:hAnsi="文星仿宋" w:eastAsia="文星仿宋" w:cs="文星仿宋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  <w:t>家)</w:t>
      </w:r>
    </w:p>
    <w:p>
      <w:pPr>
        <w:snapToGrid w:val="0"/>
        <w:spacing w:line="400" w:lineRule="exact"/>
        <w:jc w:val="center"/>
        <w:rPr>
          <w:rFonts w:hint="eastAsia" w:ascii="文星仿宋" w:hAnsi="文星仿宋" w:eastAsia="文星仿宋" w:cs="文星仿宋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中国石化销售有限公司广东石油分公司中村油库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梅县区高级中学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梅州市梅江区梅州中学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梅州市曾宪梓中学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广东省机场管理集团公司梅州机场公司 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广东富港物业服务有限公司梅州分公司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梅州市客都汇物业管理有限公司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万象江山（梅州市客天下物业管理有限公司）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梅州嘉应新天地有限公司 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广东梅县东山中学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梅州市人民医院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嘉应学院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梅州市客都汇物业管理有限公司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DM0YmM2ZjAzOTMzMjY3MmNjZTdhYTY3NDk4OGQifQ=="/>
  </w:docVars>
  <w:rsids>
    <w:rsidRoot w:val="75AF04BF"/>
    <w:rsid w:val="75A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2024-04-01T08:38:00Z</dcterms:created>
  <dc:creator>  ☆</dc:creator>
  <cp:lastModifiedBy>  ☆</cp:lastModifiedBy>
  <dcterms:modified xsi:type="dcterms:W3CDTF">2024-04-01T08:39:04Z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FA3B0F9D889846508424C48ACEB00A2D_11</vt:lpwstr>
  </property>
</Properties>
</file>