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98" w:type="dxa"/>
        <w:tblInd w:w="-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13"/>
        <w:gridCol w:w="840"/>
        <w:gridCol w:w="1005"/>
        <w:gridCol w:w="1005"/>
        <w:gridCol w:w="1035"/>
        <w:gridCol w:w="1065"/>
        <w:gridCol w:w="3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文星标宋" w:hAnsi="文星标宋" w:eastAsia="文星标宋" w:cs="文星标宋"/>
                <w:b/>
                <w:bCs/>
                <w:color w:val="auto"/>
                <w:kern w:val="0"/>
                <w:sz w:val="44"/>
                <w:szCs w:val="52"/>
              </w:rPr>
            </w:pPr>
            <w:r>
              <w:rPr>
                <w:rFonts w:hint="eastAsia" w:ascii="文星标宋" w:hAnsi="文星标宋" w:eastAsia="文星标宋" w:cs="文星标宋"/>
                <w:b/>
                <w:bCs/>
                <w:color w:val="auto"/>
                <w:kern w:val="0"/>
                <w:sz w:val="44"/>
                <w:szCs w:val="52"/>
              </w:rPr>
              <w:t>招租标的目录表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52"/>
                <w:szCs w:val="5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公示部门：梅州大枫林实业有限公司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03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资产位置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面积约（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租赁押金（元）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租赁保证金（元）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租金竞租最低价（元/月）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房屋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三角村华南大道39-3号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783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按3个月租金收取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141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4700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说明：（1）该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招租标的为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江南新城已征收但暂未移交给市级职能部门的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土地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，招租人依法享有管理、使用收益权。在租赁期间，鉴于该不动产是已征收但暂未移交给市级职能部门的特殊属性，存在合同随时终止的风险，招租人已经详细向承租人作了陈述，承租人表示清楚明白并愿意承担风险。如遇相关部门需要将该租赁不动产收回的，本合同即时终止，双方互不承担任何经济补偿责任，承租人须无条件在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个月内将不动产腾退给招租人。                                     （2）招租标的按现状进行招租，梅州大枫林实业有限公司在招租资料或者梅江区人民政府网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站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上对招租标的面积数、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现状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等所作的介绍，仅供竞租人参考，梅州大枫林实业有限公司对招租标的不承担瑕疵担保责任。如招租标的实际情况与披露信息情况有误差或不符，由承租人自行承担责任，梅州大枫林实业有限公司不承担误差或不符造成的损溢，对租金及其他费用金额不作调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（3）租赁期满后，上级仍未收储，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房屋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还继续出租的，承租人在同等条件下享有优先租赁权。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租赁期满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后的新租金标准必须在原租金标准（即本合同约定的最后一年租赁期）上增长3%。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（4）竞租成交后，承租人须从租赁期开始日起承担水、电等一切费用。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（5）承租人须承担因租赁行为、招租标的使用和涉及租金而引起的一切税费。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（6）标的有保留价。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mU0YWIzOWMwM2I2N2ZmMmRiMTNjMjE2OTE1NmIifQ=="/>
  </w:docVars>
  <w:rsids>
    <w:rsidRoot w:val="00303E43"/>
    <w:rsid w:val="00303E43"/>
    <w:rsid w:val="005C1333"/>
    <w:rsid w:val="009D78A0"/>
    <w:rsid w:val="009F056A"/>
    <w:rsid w:val="00AF21AA"/>
    <w:rsid w:val="00B750D9"/>
    <w:rsid w:val="00BF3C99"/>
    <w:rsid w:val="00C63DAA"/>
    <w:rsid w:val="00CC72FF"/>
    <w:rsid w:val="00DE4330"/>
    <w:rsid w:val="00E74BA4"/>
    <w:rsid w:val="00ED593F"/>
    <w:rsid w:val="100D176D"/>
    <w:rsid w:val="12B878C6"/>
    <w:rsid w:val="1AE37B3B"/>
    <w:rsid w:val="1BAB4EF4"/>
    <w:rsid w:val="24525767"/>
    <w:rsid w:val="28775277"/>
    <w:rsid w:val="29FD4E45"/>
    <w:rsid w:val="2E4E3496"/>
    <w:rsid w:val="31106292"/>
    <w:rsid w:val="316A363A"/>
    <w:rsid w:val="41F77F14"/>
    <w:rsid w:val="42003E30"/>
    <w:rsid w:val="429867B2"/>
    <w:rsid w:val="433F3C9F"/>
    <w:rsid w:val="4A662E1D"/>
    <w:rsid w:val="4BF76F09"/>
    <w:rsid w:val="4FFE6DA4"/>
    <w:rsid w:val="5179428B"/>
    <w:rsid w:val="55446042"/>
    <w:rsid w:val="55794277"/>
    <w:rsid w:val="6371567F"/>
    <w:rsid w:val="6C8F7F9F"/>
    <w:rsid w:val="73C77A67"/>
    <w:rsid w:val="789F566E"/>
    <w:rsid w:val="7FDB4F55"/>
    <w:rsid w:val="7FED3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1577</Characters>
  <Lines>13</Lines>
  <Paragraphs>3</Paragraphs>
  <TotalTime>281</TotalTime>
  <ScaleCrop>false</ScaleCrop>
  <LinksUpToDate>false</LinksUpToDate>
  <CharactersWithSpaces>1850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2021-11-10T03:34:00Z</dcterms:created>
  <dc:creator>Administrator</dc:creator>
  <cp:lastModifiedBy>Administrator</cp:lastModifiedBy>
  <cp:lastPrinted>2024-11-04T02:17:20Z</cp:lastPrinted>
  <dcterms:modified xsi:type="dcterms:W3CDTF">2024-11-04T02:17:22Z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0589AAE83A1C4010B665B57054713E89_13</vt:lpwstr>
  </property>
</Properties>
</file>