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7149B3A">
      <w:pPr>
        <w:snapToGrid w:val="0"/>
        <w:spacing w:line="240" w:lineRule="auto"/>
        <w:ind w:left="0" w:leftChars="0" w:firstLine="0" w:firstLineChars="0"/>
        <w:jc w:val="center"/>
        <w:rPr>
          <w:rFonts w:hint="eastAsia" w:ascii="华文中宋" w:hAnsi="华文中宋" w:eastAsia="华文中宋" w:cs="Times New Roman"/>
          <w:b/>
          <w:bCs/>
          <w:color w:val="auto"/>
          <w:sz w:val="44"/>
          <w:szCs w:val="44"/>
          <w:highlight w:val="none"/>
        </w:rPr>
      </w:pPr>
      <w:bookmarkStart w:id="0" w:name="_Toc11888"/>
      <w:bookmarkStart w:id="1" w:name="_Toc3669"/>
      <w:r>
        <w:rPr>
          <w:rFonts w:hint="eastAsia" w:ascii="华文中宋" w:hAnsi="华文中宋" w:eastAsia="华文中宋" w:cs="Times New Roman"/>
          <w:b/>
          <w:bCs/>
          <w:color w:val="auto"/>
          <w:sz w:val="44"/>
          <w:szCs w:val="44"/>
          <w:highlight w:val="none"/>
        </w:rPr>
        <w:t>梅州市梅江区西郊街道办事处</w:t>
      </w:r>
    </w:p>
    <w:p w14:paraId="214B926B">
      <w:pPr>
        <w:snapToGrid w:val="0"/>
        <w:spacing w:line="240" w:lineRule="auto"/>
        <w:ind w:left="0" w:leftChars="0" w:firstLine="0" w:firstLineChars="0"/>
        <w:jc w:val="center"/>
        <w:rPr>
          <w:rFonts w:ascii="华文中宋" w:hAnsi="华文中宋" w:eastAsia="华文中宋" w:cs="Times New Roman"/>
          <w:b/>
          <w:bCs/>
          <w:color w:val="auto"/>
          <w:sz w:val="44"/>
          <w:szCs w:val="44"/>
          <w:highlight w:val="none"/>
        </w:rPr>
      </w:pPr>
      <w:r>
        <w:rPr>
          <w:rFonts w:ascii="华文中宋" w:hAnsi="华文中宋" w:eastAsia="华文中宋" w:cs="Times New Roman"/>
          <w:b/>
          <w:bCs/>
          <w:color w:val="auto"/>
          <w:sz w:val="44"/>
          <w:szCs w:val="44"/>
          <w:highlight w:val="none"/>
        </w:rPr>
        <w:t>20</w:t>
      </w:r>
      <w:r>
        <w:rPr>
          <w:rFonts w:hint="eastAsia" w:ascii="华文中宋" w:hAnsi="华文中宋" w:eastAsia="华文中宋" w:cs="Times New Roman"/>
          <w:b/>
          <w:bCs/>
          <w:color w:val="auto"/>
          <w:sz w:val="44"/>
          <w:szCs w:val="44"/>
          <w:highlight w:val="none"/>
          <w:lang w:val="en-US" w:eastAsia="zh-CN"/>
        </w:rPr>
        <w:t>22</w:t>
      </w:r>
      <w:r>
        <w:rPr>
          <w:rFonts w:ascii="华文中宋" w:hAnsi="华文中宋" w:eastAsia="华文中宋" w:cs="Times New Roman"/>
          <w:b/>
          <w:bCs/>
          <w:color w:val="auto"/>
          <w:sz w:val="44"/>
          <w:szCs w:val="44"/>
          <w:highlight w:val="none"/>
        </w:rPr>
        <w:t>年部门整体支出绩效评价报告</w:t>
      </w:r>
    </w:p>
    <w:tbl>
      <w:tblPr>
        <w:tblStyle w:val="22"/>
        <w:tblpPr w:leftFromText="180" w:rightFromText="180" w:vertAnchor="text" w:horzAnchor="page" w:tblpX="2694" w:tblpY="5605"/>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6"/>
        <w:gridCol w:w="4696"/>
      </w:tblGrid>
      <w:tr w14:paraId="2C14F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36" w:type="dxa"/>
            <w:tcBorders>
              <w:top w:val="nil"/>
              <w:left w:val="nil"/>
              <w:bottom w:val="nil"/>
              <w:right w:val="nil"/>
            </w:tcBorders>
            <w:noWrap w:val="0"/>
            <w:vAlign w:val="top"/>
          </w:tcPr>
          <w:p w14:paraId="3C4A0FBE">
            <w:pPr>
              <w:spacing w:line="360" w:lineRule="auto"/>
              <w:ind w:left="0" w:leftChars="0" w:firstLine="0" w:firstLineChars="0"/>
              <w:jc w:val="left"/>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评价机构：</w:t>
            </w:r>
          </w:p>
        </w:tc>
        <w:tc>
          <w:tcPr>
            <w:tcW w:w="4696" w:type="dxa"/>
            <w:tcBorders>
              <w:top w:val="nil"/>
              <w:left w:val="nil"/>
              <w:bottom w:val="nil"/>
              <w:right w:val="nil"/>
            </w:tcBorders>
            <w:noWrap w:val="0"/>
            <w:vAlign w:val="top"/>
          </w:tcPr>
          <w:p w14:paraId="7685AB34">
            <w:pPr>
              <w:spacing w:line="360" w:lineRule="auto"/>
              <w:jc w:val="left"/>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eastAsia="zh-CN"/>
              </w:rPr>
              <w:t>广东广财评估咨询有限公司</w:t>
            </w:r>
          </w:p>
        </w:tc>
      </w:tr>
      <w:tr w14:paraId="3A583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6" w:type="dxa"/>
            <w:tcBorders>
              <w:top w:val="nil"/>
              <w:left w:val="nil"/>
              <w:bottom w:val="nil"/>
              <w:right w:val="nil"/>
            </w:tcBorders>
            <w:noWrap w:val="0"/>
            <w:vAlign w:val="top"/>
          </w:tcPr>
          <w:p w14:paraId="7B536CC9">
            <w:pPr>
              <w:spacing w:line="360" w:lineRule="auto"/>
              <w:ind w:left="0" w:leftChars="0" w:firstLine="0" w:firstLineChars="0"/>
              <w:jc w:val="left"/>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机构负责人：</w:t>
            </w:r>
          </w:p>
        </w:tc>
        <w:tc>
          <w:tcPr>
            <w:tcW w:w="4696" w:type="dxa"/>
            <w:tcBorders>
              <w:top w:val="nil"/>
              <w:left w:val="nil"/>
              <w:bottom w:val="nil"/>
              <w:right w:val="nil"/>
            </w:tcBorders>
            <w:noWrap w:val="0"/>
            <w:vAlign w:val="top"/>
          </w:tcPr>
          <w:p w14:paraId="77CBE363">
            <w:pPr>
              <w:spacing w:line="360" w:lineRule="auto"/>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韦晓强</w:t>
            </w:r>
          </w:p>
        </w:tc>
      </w:tr>
      <w:tr w14:paraId="709E7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6" w:type="dxa"/>
            <w:tcBorders>
              <w:top w:val="nil"/>
              <w:left w:val="nil"/>
              <w:bottom w:val="nil"/>
              <w:right w:val="nil"/>
            </w:tcBorders>
            <w:noWrap w:val="0"/>
            <w:vAlign w:val="top"/>
          </w:tcPr>
          <w:p w14:paraId="09E5F4AA">
            <w:pPr>
              <w:spacing w:line="360" w:lineRule="auto"/>
              <w:ind w:left="0" w:leftChars="0" w:firstLine="0" w:firstLineChars="0"/>
              <w:jc w:val="left"/>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项目负责人：</w:t>
            </w:r>
          </w:p>
          <w:p w14:paraId="6A57A91C">
            <w:pPr>
              <w:spacing w:line="360" w:lineRule="auto"/>
              <w:ind w:left="0" w:leftChars="0" w:firstLine="0" w:firstLineChars="0"/>
              <w:jc w:val="left"/>
              <w:rPr>
                <w:rFonts w:hint="default" w:ascii="仿宋_GB2312" w:hAnsi="仿宋_GB2312" w:eastAsia="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报告日期：</w:t>
            </w:r>
          </w:p>
        </w:tc>
        <w:tc>
          <w:tcPr>
            <w:tcW w:w="4696" w:type="dxa"/>
            <w:tcBorders>
              <w:top w:val="nil"/>
              <w:left w:val="nil"/>
              <w:bottom w:val="nil"/>
              <w:right w:val="nil"/>
            </w:tcBorders>
            <w:noWrap w:val="0"/>
            <w:vAlign w:val="top"/>
          </w:tcPr>
          <w:p w14:paraId="6A903229">
            <w:pPr>
              <w:spacing w:line="360" w:lineRule="auto"/>
              <w:jc w:val="left"/>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李贤浩</w:t>
            </w:r>
          </w:p>
          <w:p w14:paraId="78B1E915">
            <w:pPr>
              <w:spacing w:line="360" w:lineRule="auto"/>
              <w:jc w:val="left"/>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zh-CN"/>
              </w:rPr>
              <w:t>20</w:t>
            </w:r>
            <w:r>
              <w:rPr>
                <w:rFonts w:hint="eastAsia" w:ascii="仿宋_GB2312" w:hAnsi="仿宋_GB2312" w:eastAsia="仿宋_GB2312" w:cs="仿宋_GB2312"/>
                <w:color w:val="auto"/>
                <w:sz w:val="32"/>
                <w:szCs w:val="32"/>
                <w:highlight w:val="none"/>
                <w:lang w:val="en-US" w:eastAsia="zh-CN"/>
              </w:rPr>
              <w:t>23</w:t>
            </w:r>
            <w:r>
              <w:rPr>
                <w:rFonts w:hint="eastAsia" w:ascii="仿宋_GB2312" w:hAnsi="仿宋_GB2312" w:eastAsia="仿宋_GB2312" w:cs="仿宋_GB2312"/>
                <w:color w:val="auto"/>
                <w:sz w:val="32"/>
                <w:szCs w:val="32"/>
                <w:highlight w:val="none"/>
                <w:lang w:val="zh-CN"/>
              </w:rPr>
              <w:t>年</w:t>
            </w:r>
            <w:r>
              <w:rPr>
                <w:rFonts w:hint="eastAsia" w:ascii="仿宋_GB2312" w:hAnsi="仿宋_GB2312" w:cs="仿宋_GB2312"/>
                <w:color w:val="auto"/>
                <w:sz w:val="32"/>
                <w:szCs w:val="32"/>
                <w:highlight w:val="none"/>
                <w:lang w:val="en-US" w:eastAsia="zh-CN"/>
              </w:rPr>
              <w:t>11月</w:t>
            </w:r>
          </w:p>
        </w:tc>
      </w:tr>
    </w:tbl>
    <w:p w14:paraId="5773C53C">
      <w:pPr>
        <w:snapToGrid w:val="0"/>
        <w:spacing w:line="240" w:lineRule="auto"/>
        <w:ind w:left="0" w:leftChars="0" w:firstLine="0" w:firstLineChars="0"/>
        <w:jc w:val="center"/>
        <w:rPr>
          <w:rFonts w:hint="eastAsia" w:ascii="华文中宋" w:hAnsi="华文中宋" w:eastAsia="华文中宋" w:cs="Times New Roman"/>
          <w:b/>
          <w:bCs/>
          <w:color w:val="auto"/>
          <w:sz w:val="44"/>
          <w:szCs w:val="44"/>
          <w:highlight w:val="none"/>
          <w:lang w:eastAsia="zh-CN"/>
        </w:rPr>
        <w:sectPr>
          <w:footerReference r:id="rId5" w:type="default"/>
          <w:pgSz w:w="11906" w:h="16838"/>
          <w:pgMar w:top="2098" w:right="1587" w:bottom="1701" w:left="1587" w:header="0" w:footer="1247" w:gutter="0"/>
          <w:pgNumType w:fmt="decimal" w:start="1"/>
          <w:cols w:space="0" w:num="1"/>
          <w:rtlGutter w:val="0"/>
          <w:docGrid w:type="lines" w:linePitch="449" w:charSpace="0"/>
        </w:sectPr>
      </w:pPr>
      <w:r>
        <w:rPr>
          <w:rFonts w:hint="eastAsia" w:ascii="华文中宋" w:hAnsi="华文中宋" w:eastAsia="华文中宋" w:cs="Times New Roman"/>
          <w:b/>
          <w:bCs/>
          <w:color w:val="auto"/>
          <w:sz w:val="44"/>
          <w:szCs w:val="44"/>
          <w:lang w:eastAsia="zh-CN"/>
        </w:rPr>
        <w:t>（</w:t>
      </w:r>
      <w:r>
        <w:rPr>
          <w:rFonts w:hint="eastAsia" w:ascii="华文中宋" w:hAnsi="华文中宋" w:eastAsia="华文中宋" w:cs="Times New Roman"/>
          <w:b/>
          <w:bCs/>
          <w:color w:val="auto"/>
          <w:sz w:val="44"/>
          <w:szCs w:val="44"/>
          <w:lang w:val="en-US" w:eastAsia="zh-CN"/>
        </w:rPr>
        <w:t>征求意见稿</w:t>
      </w:r>
      <w:r>
        <w:rPr>
          <w:rFonts w:hint="eastAsia" w:ascii="华文中宋" w:hAnsi="华文中宋" w:eastAsia="华文中宋" w:cs="Times New Roman"/>
          <w:b/>
          <w:bCs/>
          <w:color w:val="auto"/>
          <w:sz w:val="44"/>
          <w:szCs w:val="44"/>
          <w:lang w:eastAsia="zh-CN"/>
        </w:rPr>
        <w:t>）</w:t>
      </w:r>
    </w:p>
    <w:sdt>
      <w:sdtPr>
        <w:rPr>
          <w:rFonts w:ascii="宋体" w:hAnsi="宋体" w:eastAsia="宋体" w:cs="Calibri"/>
          <w:color w:val="auto"/>
          <w:kern w:val="2"/>
          <w:sz w:val="21"/>
          <w:szCs w:val="21"/>
          <w:highlight w:val="none"/>
          <w:lang w:val="en-US" w:eastAsia="zh-CN" w:bidi="ar-SA"/>
        </w:rPr>
        <w:id w:val="147454310"/>
        <w15:color w:val="DBDBDB"/>
        <w:docPartObj>
          <w:docPartGallery w:val="Table of Contents"/>
          <w:docPartUnique/>
        </w:docPartObj>
      </w:sdtPr>
      <w:sdtEndPr>
        <w:rPr>
          <w:rFonts w:hint="eastAsia" w:ascii="华文中宋" w:hAnsi="华文中宋" w:eastAsia="华文中宋" w:cs="Times New Roman"/>
          <w:b/>
          <w:bCs/>
          <w:color w:val="auto"/>
          <w:kern w:val="2"/>
          <w:sz w:val="32"/>
          <w:szCs w:val="44"/>
          <w:highlight w:val="none"/>
          <w:lang w:val="en-US" w:eastAsia="zh-CN" w:bidi="ar-SA"/>
        </w:rPr>
      </w:sdtEndPr>
      <w:sdtContent>
        <w:p w14:paraId="495851D6">
          <w:pPr>
            <w:spacing w:before="0" w:beforeLines="0" w:after="0" w:afterLines="0" w:line="240" w:lineRule="auto"/>
            <w:ind w:left="0" w:leftChars="0" w:right="0" w:rightChars="0" w:firstLine="0" w:firstLineChars="0"/>
            <w:jc w:val="center"/>
            <w:rPr>
              <w:rFonts w:hint="eastAsia" w:ascii="华文中宋" w:hAnsi="华文中宋" w:eastAsia="华文中宋" w:cs="Times New Roman"/>
              <w:color w:val="auto"/>
              <w:sz w:val="44"/>
              <w:szCs w:val="44"/>
              <w:highlight w:val="none"/>
              <w:lang w:val="en-US" w:eastAsia="zh-CN"/>
            </w:rPr>
          </w:pPr>
          <w:r>
            <w:rPr>
              <w:rFonts w:hint="eastAsia" w:ascii="华文中宋" w:hAnsi="华文中宋" w:eastAsia="华文中宋" w:cs="Times New Roman"/>
              <w:color w:val="auto"/>
              <w:sz w:val="44"/>
              <w:szCs w:val="44"/>
              <w:highlight w:val="none"/>
              <w:lang w:val="en-US" w:eastAsia="zh-CN"/>
            </w:rPr>
            <w:t>目 录</w:t>
          </w:r>
        </w:p>
        <w:p w14:paraId="489D918E">
          <w:pPr>
            <w:pStyle w:val="16"/>
            <w:keepNext w:val="0"/>
            <w:keepLines w:val="0"/>
            <w:pageBreakBefore w:val="0"/>
            <w:widowControl w:val="0"/>
            <w:tabs>
              <w:tab w:val="right" w:leader="dot" w:pos="8732"/>
            </w:tabs>
            <w:kinsoku/>
            <w:wordWrap/>
            <w:overflowPunct/>
            <w:topLinePunct w:val="0"/>
            <w:autoSpaceDE/>
            <w:autoSpaceDN/>
            <w:bidi w:val="0"/>
            <w:adjustRightInd/>
            <w:snapToGrid/>
            <w:spacing w:before="120" w:after="120" w:line="312" w:lineRule="auto"/>
            <w:ind w:firstLine="0" w:firstLineChars="0"/>
            <w:jc w:val="left"/>
            <w:textAlignment w:val="auto"/>
            <w:rPr>
              <w:rFonts w:hint="eastAsia" w:ascii="Times New Roman" w:hAnsi="Times New Roman" w:eastAsia="黑体" w:cs="Times New Roman"/>
              <w:b/>
              <w:bCs/>
              <w:caps/>
              <w:color w:val="auto"/>
              <w:sz w:val="32"/>
              <w:szCs w:val="32"/>
              <w:highlight w:val="none"/>
            </w:rPr>
          </w:pPr>
          <w:r>
            <w:rPr>
              <w:rFonts w:hint="eastAsia" w:ascii="华文中宋" w:hAnsi="华文中宋" w:eastAsia="华文中宋" w:cs="Times New Roman"/>
              <w:b w:val="0"/>
              <w:bCs w:val="0"/>
              <w:color w:val="auto"/>
              <w:sz w:val="32"/>
              <w:szCs w:val="32"/>
              <w:highlight w:val="none"/>
            </w:rPr>
            <w:fldChar w:fldCharType="begin"/>
          </w:r>
          <w:r>
            <w:rPr>
              <w:rFonts w:hint="eastAsia" w:ascii="华文中宋" w:hAnsi="华文中宋" w:eastAsia="华文中宋" w:cs="Times New Roman"/>
              <w:b w:val="0"/>
              <w:bCs w:val="0"/>
              <w:color w:val="auto"/>
              <w:sz w:val="32"/>
              <w:szCs w:val="32"/>
              <w:highlight w:val="none"/>
            </w:rPr>
            <w:instrText xml:space="preserve">TOC \o "1-2" \h \u </w:instrText>
          </w:r>
          <w:r>
            <w:rPr>
              <w:rFonts w:hint="eastAsia" w:ascii="华文中宋" w:hAnsi="华文中宋" w:eastAsia="华文中宋" w:cs="Times New Roman"/>
              <w:b w:val="0"/>
              <w:bCs w:val="0"/>
              <w:color w:val="auto"/>
              <w:sz w:val="32"/>
              <w:szCs w:val="32"/>
              <w:highlight w:val="none"/>
            </w:rPr>
            <w:fldChar w:fldCharType="separate"/>
          </w:r>
          <w:r>
            <w:rPr>
              <w:rFonts w:hint="eastAsia" w:ascii="Times New Roman" w:hAnsi="Times New Roman" w:eastAsia="黑体" w:cs="Times New Roman"/>
              <w:b/>
              <w:bCs/>
              <w:caps/>
              <w:color w:val="auto"/>
              <w:sz w:val="32"/>
              <w:szCs w:val="32"/>
              <w:highlight w:val="none"/>
            </w:rPr>
            <w:fldChar w:fldCharType="begin"/>
          </w:r>
          <w:r>
            <w:rPr>
              <w:rFonts w:hint="eastAsia" w:ascii="Times New Roman" w:hAnsi="Times New Roman" w:eastAsia="黑体" w:cs="Times New Roman"/>
              <w:b/>
              <w:bCs/>
              <w:caps/>
              <w:color w:val="auto"/>
              <w:sz w:val="32"/>
              <w:szCs w:val="32"/>
              <w:highlight w:val="none"/>
            </w:rPr>
            <w:instrText xml:space="preserve"> HYPERLINK \l _Toc6157 </w:instrText>
          </w:r>
          <w:r>
            <w:rPr>
              <w:rFonts w:hint="eastAsia" w:ascii="Times New Roman" w:hAnsi="Times New Roman" w:eastAsia="黑体" w:cs="Times New Roman"/>
              <w:b/>
              <w:bCs/>
              <w:caps/>
              <w:color w:val="auto"/>
              <w:sz w:val="32"/>
              <w:szCs w:val="32"/>
              <w:highlight w:val="none"/>
            </w:rPr>
            <w:fldChar w:fldCharType="separate"/>
          </w:r>
          <w:r>
            <w:rPr>
              <w:rFonts w:hint="eastAsia" w:ascii="Times New Roman" w:hAnsi="Times New Roman" w:eastAsia="黑体" w:cs="Times New Roman"/>
              <w:b/>
              <w:bCs/>
              <w:caps/>
              <w:color w:val="auto"/>
              <w:sz w:val="32"/>
              <w:szCs w:val="32"/>
              <w:highlight w:val="none"/>
            </w:rPr>
            <w:t>一、评价概况</w:t>
          </w:r>
          <w:r>
            <w:rPr>
              <w:rFonts w:hint="eastAsia" w:ascii="楷体" w:hAnsi="楷体" w:eastAsia="楷体" w:cs="楷体"/>
              <w:b w:val="0"/>
              <w:bCs w:val="0"/>
              <w:smallCaps/>
              <w:color w:val="auto"/>
              <w:kern w:val="2"/>
              <w:sz w:val="32"/>
              <w:szCs w:val="32"/>
              <w:highlight w:val="none"/>
              <w:lang w:val="en-US" w:eastAsia="zh-CN" w:bidi="ar-SA"/>
            </w:rPr>
            <w:tab/>
          </w:r>
          <w:r>
            <w:rPr>
              <w:rFonts w:hint="eastAsia" w:ascii="Times New Roman" w:hAnsi="Times New Roman" w:eastAsia="黑体" w:cs="Times New Roman"/>
              <w:b/>
              <w:bCs/>
              <w:caps/>
              <w:color w:val="auto"/>
              <w:sz w:val="32"/>
              <w:szCs w:val="32"/>
              <w:highlight w:val="none"/>
            </w:rPr>
            <w:fldChar w:fldCharType="begin"/>
          </w:r>
          <w:r>
            <w:rPr>
              <w:rFonts w:hint="eastAsia" w:ascii="Times New Roman" w:hAnsi="Times New Roman" w:eastAsia="黑体" w:cs="Times New Roman"/>
              <w:b/>
              <w:bCs/>
              <w:caps/>
              <w:color w:val="auto"/>
              <w:sz w:val="32"/>
              <w:szCs w:val="32"/>
              <w:highlight w:val="none"/>
            </w:rPr>
            <w:instrText xml:space="preserve"> PAGEREF _Toc6157 \h </w:instrText>
          </w:r>
          <w:r>
            <w:rPr>
              <w:rFonts w:hint="eastAsia" w:ascii="Times New Roman" w:hAnsi="Times New Roman" w:eastAsia="黑体" w:cs="Times New Roman"/>
              <w:b/>
              <w:bCs/>
              <w:caps/>
              <w:color w:val="auto"/>
              <w:sz w:val="32"/>
              <w:szCs w:val="32"/>
              <w:highlight w:val="none"/>
            </w:rPr>
            <w:fldChar w:fldCharType="separate"/>
          </w:r>
          <w:r>
            <w:rPr>
              <w:rFonts w:hint="eastAsia" w:ascii="Times New Roman" w:hAnsi="Times New Roman" w:eastAsia="黑体" w:cs="Times New Roman"/>
              <w:b/>
              <w:bCs/>
              <w:caps/>
              <w:color w:val="auto"/>
              <w:sz w:val="32"/>
              <w:szCs w:val="32"/>
              <w:highlight w:val="none"/>
            </w:rPr>
            <w:t>1</w:t>
          </w:r>
          <w:r>
            <w:rPr>
              <w:rFonts w:hint="eastAsia" w:ascii="Times New Roman" w:hAnsi="Times New Roman" w:eastAsia="黑体" w:cs="Times New Roman"/>
              <w:b/>
              <w:bCs/>
              <w:caps/>
              <w:color w:val="auto"/>
              <w:sz w:val="32"/>
              <w:szCs w:val="32"/>
              <w:highlight w:val="none"/>
            </w:rPr>
            <w:fldChar w:fldCharType="end"/>
          </w:r>
          <w:r>
            <w:rPr>
              <w:rFonts w:hint="eastAsia" w:ascii="Times New Roman" w:hAnsi="Times New Roman" w:eastAsia="黑体" w:cs="Times New Roman"/>
              <w:b/>
              <w:bCs/>
              <w:caps/>
              <w:color w:val="auto"/>
              <w:sz w:val="32"/>
              <w:szCs w:val="32"/>
              <w:highlight w:val="none"/>
            </w:rPr>
            <w:fldChar w:fldCharType="end"/>
          </w:r>
        </w:p>
        <w:p w14:paraId="456C82DA">
          <w:pPr>
            <w:pStyle w:val="16"/>
            <w:keepNext w:val="0"/>
            <w:keepLines w:val="0"/>
            <w:pageBreakBefore w:val="0"/>
            <w:widowControl w:val="0"/>
            <w:tabs>
              <w:tab w:val="right" w:leader="dot" w:pos="8732"/>
            </w:tabs>
            <w:kinsoku/>
            <w:wordWrap/>
            <w:overflowPunct/>
            <w:topLinePunct w:val="0"/>
            <w:autoSpaceDE/>
            <w:autoSpaceDN/>
            <w:bidi w:val="0"/>
            <w:adjustRightInd/>
            <w:snapToGrid/>
            <w:spacing w:before="120" w:after="120" w:line="312" w:lineRule="auto"/>
            <w:ind w:firstLine="0" w:firstLineChars="0"/>
            <w:jc w:val="left"/>
            <w:textAlignment w:val="auto"/>
            <w:rPr>
              <w:rFonts w:hint="eastAsia" w:ascii="Times New Roman" w:hAnsi="Times New Roman" w:eastAsia="黑体" w:cs="Times New Roman"/>
              <w:b/>
              <w:bCs/>
              <w:caps/>
              <w:color w:val="auto"/>
              <w:sz w:val="32"/>
              <w:szCs w:val="32"/>
              <w:highlight w:val="none"/>
            </w:rPr>
          </w:pPr>
          <w:r>
            <w:rPr>
              <w:rFonts w:hint="eastAsia" w:ascii="Times New Roman" w:hAnsi="Times New Roman" w:eastAsia="黑体" w:cs="Times New Roman"/>
              <w:b/>
              <w:bCs/>
              <w:caps/>
              <w:color w:val="auto"/>
              <w:sz w:val="32"/>
              <w:szCs w:val="32"/>
              <w:highlight w:val="none"/>
            </w:rPr>
            <w:fldChar w:fldCharType="begin"/>
          </w:r>
          <w:r>
            <w:rPr>
              <w:rFonts w:hint="eastAsia" w:ascii="Times New Roman" w:hAnsi="Times New Roman" w:eastAsia="黑体" w:cs="Times New Roman"/>
              <w:b/>
              <w:bCs/>
              <w:caps/>
              <w:color w:val="auto"/>
              <w:sz w:val="32"/>
              <w:szCs w:val="32"/>
              <w:highlight w:val="none"/>
            </w:rPr>
            <w:instrText xml:space="preserve"> HYPERLINK \l _Toc26917 </w:instrText>
          </w:r>
          <w:r>
            <w:rPr>
              <w:rFonts w:hint="eastAsia" w:ascii="Times New Roman" w:hAnsi="Times New Roman" w:eastAsia="黑体" w:cs="Times New Roman"/>
              <w:b/>
              <w:bCs/>
              <w:caps/>
              <w:color w:val="auto"/>
              <w:sz w:val="32"/>
              <w:szCs w:val="32"/>
              <w:highlight w:val="none"/>
            </w:rPr>
            <w:fldChar w:fldCharType="separate"/>
          </w:r>
          <w:r>
            <w:rPr>
              <w:rFonts w:hint="eastAsia" w:ascii="Times New Roman" w:hAnsi="Times New Roman" w:eastAsia="黑体" w:cs="Times New Roman"/>
              <w:b/>
              <w:bCs/>
              <w:caps/>
              <w:color w:val="auto"/>
              <w:sz w:val="32"/>
              <w:szCs w:val="32"/>
              <w:highlight w:val="none"/>
            </w:rPr>
            <w:t>二、部门整体概况</w:t>
          </w:r>
          <w:r>
            <w:rPr>
              <w:rFonts w:hint="eastAsia" w:ascii="楷体" w:hAnsi="楷体" w:eastAsia="楷体" w:cs="楷体"/>
              <w:b w:val="0"/>
              <w:bCs w:val="0"/>
              <w:smallCaps/>
              <w:color w:val="auto"/>
              <w:kern w:val="2"/>
              <w:sz w:val="32"/>
              <w:szCs w:val="32"/>
              <w:highlight w:val="none"/>
              <w:lang w:val="en-US" w:eastAsia="zh-CN" w:bidi="ar-SA"/>
            </w:rPr>
            <w:tab/>
          </w:r>
          <w:r>
            <w:rPr>
              <w:rFonts w:hint="eastAsia" w:ascii="Times New Roman" w:hAnsi="Times New Roman" w:eastAsia="黑体" w:cs="Times New Roman"/>
              <w:b/>
              <w:bCs/>
              <w:caps/>
              <w:color w:val="auto"/>
              <w:sz w:val="32"/>
              <w:szCs w:val="32"/>
              <w:highlight w:val="none"/>
            </w:rPr>
            <w:fldChar w:fldCharType="begin"/>
          </w:r>
          <w:r>
            <w:rPr>
              <w:rFonts w:hint="eastAsia" w:ascii="Times New Roman" w:hAnsi="Times New Roman" w:eastAsia="黑体" w:cs="Times New Roman"/>
              <w:b/>
              <w:bCs/>
              <w:caps/>
              <w:color w:val="auto"/>
              <w:sz w:val="32"/>
              <w:szCs w:val="32"/>
              <w:highlight w:val="none"/>
            </w:rPr>
            <w:instrText xml:space="preserve"> PAGEREF _Toc26917 \h </w:instrText>
          </w:r>
          <w:r>
            <w:rPr>
              <w:rFonts w:hint="eastAsia" w:ascii="Times New Roman" w:hAnsi="Times New Roman" w:eastAsia="黑体" w:cs="Times New Roman"/>
              <w:b/>
              <w:bCs/>
              <w:caps/>
              <w:color w:val="auto"/>
              <w:sz w:val="32"/>
              <w:szCs w:val="32"/>
              <w:highlight w:val="none"/>
            </w:rPr>
            <w:fldChar w:fldCharType="separate"/>
          </w:r>
          <w:r>
            <w:rPr>
              <w:rFonts w:hint="eastAsia" w:ascii="Times New Roman" w:hAnsi="Times New Roman" w:eastAsia="黑体" w:cs="Times New Roman"/>
              <w:b/>
              <w:bCs/>
              <w:caps/>
              <w:color w:val="auto"/>
              <w:sz w:val="32"/>
              <w:szCs w:val="32"/>
              <w:highlight w:val="none"/>
            </w:rPr>
            <w:t>1</w:t>
          </w:r>
          <w:r>
            <w:rPr>
              <w:rFonts w:hint="eastAsia" w:ascii="Times New Roman" w:hAnsi="Times New Roman" w:eastAsia="黑体" w:cs="Times New Roman"/>
              <w:b/>
              <w:bCs/>
              <w:caps/>
              <w:color w:val="auto"/>
              <w:sz w:val="32"/>
              <w:szCs w:val="32"/>
              <w:highlight w:val="none"/>
            </w:rPr>
            <w:fldChar w:fldCharType="end"/>
          </w:r>
          <w:r>
            <w:rPr>
              <w:rFonts w:hint="eastAsia" w:ascii="Times New Roman" w:hAnsi="Times New Roman" w:eastAsia="黑体" w:cs="Times New Roman"/>
              <w:b/>
              <w:bCs/>
              <w:caps/>
              <w:color w:val="auto"/>
              <w:sz w:val="32"/>
              <w:szCs w:val="32"/>
              <w:highlight w:val="none"/>
            </w:rPr>
            <w:fldChar w:fldCharType="end"/>
          </w:r>
        </w:p>
        <w:p w14:paraId="6FB1DF94">
          <w:pPr>
            <w:pStyle w:val="18"/>
            <w:keepNext w:val="0"/>
            <w:keepLines w:val="0"/>
            <w:pageBreakBefore w:val="0"/>
            <w:widowControl w:val="0"/>
            <w:tabs>
              <w:tab w:val="right" w:leader="dot" w:pos="8732"/>
            </w:tabs>
            <w:kinsoku/>
            <w:wordWrap/>
            <w:overflowPunct/>
            <w:topLinePunct w:val="0"/>
            <w:autoSpaceDE/>
            <w:autoSpaceDN/>
            <w:bidi w:val="0"/>
            <w:adjustRightInd/>
            <w:snapToGrid/>
            <w:spacing w:line="312" w:lineRule="auto"/>
            <w:ind w:left="317" w:leftChars="0" w:firstLine="0" w:firstLineChars="0"/>
            <w:jc w:val="left"/>
            <w:textAlignment w:val="auto"/>
            <w:rPr>
              <w:rFonts w:hint="eastAsia" w:ascii="楷体" w:hAnsi="楷体" w:eastAsia="楷体" w:cs="楷体"/>
              <w:b w:val="0"/>
              <w:bCs w:val="0"/>
              <w:smallCaps/>
              <w:color w:val="auto"/>
              <w:sz w:val="32"/>
              <w:szCs w:val="32"/>
              <w:highlight w:val="none"/>
            </w:rPr>
          </w:pPr>
          <w:r>
            <w:rPr>
              <w:rFonts w:hint="eastAsia" w:ascii="楷体" w:hAnsi="楷体" w:eastAsia="楷体" w:cs="楷体"/>
              <w:b w:val="0"/>
              <w:bCs w:val="0"/>
              <w:smallCaps/>
              <w:color w:val="auto"/>
              <w:sz w:val="32"/>
              <w:szCs w:val="32"/>
              <w:highlight w:val="none"/>
            </w:rPr>
            <w:fldChar w:fldCharType="begin"/>
          </w:r>
          <w:r>
            <w:rPr>
              <w:rFonts w:hint="eastAsia" w:ascii="楷体" w:hAnsi="楷体" w:eastAsia="楷体" w:cs="楷体"/>
              <w:b w:val="0"/>
              <w:bCs w:val="0"/>
              <w:smallCaps/>
              <w:color w:val="auto"/>
              <w:sz w:val="32"/>
              <w:szCs w:val="32"/>
              <w:highlight w:val="none"/>
            </w:rPr>
            <w:instrText xml:space="preserve"> HYPERLINK \l _Toc17891 </w:instrText>
          </w:r>
          <w:r>
            <w:rPr>
              <w:rFonts w:hint="eastAsia" w:ascii="楷体" w:hAnsi="楷体" w:eastAsia="楷体" w:cs="楷体"/>
              <w:b w:val="0"/>
              <w:bCs w:val="0"/>
              <w:smallCaps/>
              <w:color w:val="auto"/>
              <w:sz w:val="32"/>
              <w:szCs w:val="32"/>
              <w:highlight w:val="none"/>
            </w:rPr>
            <w:fldChar w:fldCharType="separate"/>
          </w:r>
          <w:r>
            <w:rPr>
              <w:rFonts w:hint="eastAsia" w:ascii="楷体" w:hAnsi="楷体" w:eastAsia="楷体" w:cs="楷体"/>
              <w:b w:val="0"/>
              <w:bCs w:val="0"/>
              <w:smallCaps/>
              <w:color w:val="auto"/>
              <w:sz w:val="32"/>
              <w:szCs w:val="32"/>
              <w:highlight w:val="none"/>
            </w:rPr>
            <w:t>（一）部门基本情况</w:t>
          </w:r>
          <w:r>
            <w:rPr>
              <w:rFonts w:hint="eastAsia" w:ascii="楷体" w:hAnsi="楷体" w:eastAsia="楷体" w:cs="楷体"/>
              <w:b w:val="0"/>
              <w:bCs w:val="0"/>
              <w:smallCaps/>
              <w:color w:val="auto"/>
              <w:sz w:val="32"/>
              <w:szCs w:val="32"/>
              <w:highlight w:val="none"/>
            </w:rPr>
            <w:tab/>
          </w:r>
          <w:r>
            <w:rPr>
              <w:rFonts w:hint="eastAsia" w:ascii="楷体" w:hAnsi="楷体" w:eastAsia="楷体" w:cs="楷体"/>
              <w:b w:val="0"/>
              <w:bCs w:val="0"/>
              <w:smallCaps/>
              <w:color w:val="auto"/>
              <w:sz w:val="32"/>
              <w:szCs w:val="32"/>
              <w:highlight w:val="none"/>
            </w:rPr>
            <w:fldChar w:fldCharType="begin"/>
          </w:r>
          <w:r>
            <w:rPr>
              <w:rFonts w:hint="eastAsia" w:ascii="楷体" w:hAnsi="楷体" w:eastAsia="楷体" w:cs="楷体"/>
              <w:b w:val="0"/>
              <w:bCs w:val="0"/>
              <w:smallCaps/>
              <w:color w:val="auto"/>
              <w:sz w:val="32"/>
              <w:szCs w:val="32"/>
              <w:highlight w:val="none"/>
            </w:rPr>
            <w:instrText xml:space="preserve"> PAGEREF _Toc17891 \h </w:instrText>
          </w:r>
          <w:r>
            <w:rPr>
              <w:rFonts w:hint="eastAsia" w:ascii="楷体" w:hAnsi="楷体" w:eastAsia="楷体" w:cs="楷体"/>
              <w:b w:val="0"/>
              <w:bCs w:val="0"/>
              <w:smallCaps/>
              <w:color w:val="auto"/>
              <w:sz w:val="32"/>
              <w:szCs w:val="32"/>
              <w:highlight w:val="none"/>
            </w:rPr>
            <w:fldChar w:fldCharType="separate"/>
          </w:r>
          <w:r>
            <w:rPr>
              <w:rFonts w:hint="eastAsia" w:ascii="楷体" w:hAnsi="楷体" w:eastAsia="楷体" w:cs="楷体"/>
              <w:b w:val="0"/>
              <w:bCs w:val="0"/>
              <w:smallCaps/>
              <w:color w:val="auto"/>
              <w:sz w:val="32"/>
              <w:szCs w:val="32"/>
              <w:highlight w:val="none"/>
            </w:rPr>
            <w:t>1</w:t>
          </w:r>
          <w:r>
            <w:rPr>
              <w:rFonts w:hint="eastAsia" w:ascii="楷体" w:hAnsi="楷体" w:eastAsia="楷体" w:cs="楷体"/>
              <w:b w:val="0"/>
              <w:bCs w:val="0"/>
              <w:smallCaps/>
              <w:color w:val="auto"/>
              <w:sz w:val="32"/>
              <w:szCs w:val="32"/>
              <w:highlight w:val="none"/>
            </w:rPr>
            <w:fldChar w:fldCharType="end"/>
          </w:r>
          <w:r>
            <w:rPr>
              <w:rFonts w:hint="eastAsia" w:ascii="楷体" w:hAnsi="楷体" w:eastAsia="楷体" w:cs="楷体"/>
              <w:b w:val="0"/>
              <w:bCs w:val="0"/>
              <w:smallCaps/>
              <w:color w:val="auto"/>
              <w:sz w:val="32"/>
              <w:szCs w:val="32"/>
              <w:highlight w:val="none"/>
            </w:rPr>
            <w:fldChar w:fldCharType="end"/>
          </w:r>
        </w:p>
        <w:p w14:paraId="1BA655A6">
          <w:pPr>
            <w:pStyle w:val="18"/>
            <w:keepNext w:val="0"/>
            <w:keepLines w:val="0"/>
            <w:pageBreakBefore w:val="0"/>
            <w:widowControl w:val="0"/>
            <w:tabs>
              <w:tab w:val="right" w:leader="dot" w:pos="8732"/>
            </w:tabs>
            <w:kinsoku/>
            <w:wordWrap/>
            <w:overflowPunct/>
            <w:topLinePunct w:val="0"/>
            <w:autoSpaceDE/>
            <w:autoSpaceDN/>
            <w:bidi w:val="0"/>
            <w:adjustRightInd/>
            <w:snapToGrid/>
            <w:spacing w:line="312" w:lineRule="auto"/>
            <w:ind w:left="317" w:leftChars="0" w:firstLine="0" w:firstLineChars="0"/>
            <w:jc w:val="left"/>
            <w:textAlignment w:val="auto"/>
            <w:rPr>
              <w:rFonts w:hint="eastAsia" w:ascii="楷体" w:hAnsi="楷体" w:eastAsia="楷体" w:cs="楷体"/>
              <w:b w:val="0"/>
              <w:bCs w:val="0"/>
              <w:smallCaps/>
              <w:color w:val="auto"/>
              <w:sz w:val="32"/>
              <w:szCs w:val="32"/>
              <w:highlight w:val="none"/>
            </w:rPr>
          </w:pPr>
          <w:r>
            <w:rPr>
              <w:rFonts w:hint="eastAsia" w:ascii="楷体" w:hAnsi="楷体" w:eastAsia="楷体" w:cs="楷体"/>
              <w:b w:val="0"/>
              <w:bCs w:val="0"/>
              <w:smallCaps/>
              <w:color w:val="auto"/>
              <w:sz w:val="32"/>
              <w:szCs w:val="32"/>
              <w:highlight w:val="none"/>
            </w:rPr>
            <w:fldChar w:fldCharType="begin"/>
          </w:r>
          <w:r>
            <w:rPr>
              <w:rFonts w:hint="eastAsia" w:ascii="楷体" w:hAnsi="楷体" w:eastAsia="楷体" w:cs="楷体"/>
              <w:b w:val="0"/>
              <w:bCs w:val="0"/>
              <w:smallCaps/>
              <w:color w:val="auto"/>
              <w:sz w:val="32"/>
              <w:szCs w:val="32"/>
              <w:highlight w:val="none"/>
            </w:rPr>
            <w:instrText xml:space="preserve"> HYPERLINK \l _Toc4359 </w:instrText>
          </w:r>
          <w:r>
            <w:rPr>
              <w:rFonts w:hint="eastAsia" w:ascii="楷体" w:hAnsi="楷体" w:eastAsia="楷体" w:cs="楷体"/>
              <w:b w:val="0"/>
              <w:bCs w:val="0"/>
              <w:smallCaps/>
              <w:color w:val="auto"/>
              <w:sz w:val="32"/>
              <w:szCs w:val="32"/>
              <w:highlight w:val="none"/>
            </w:rPr>
            <w:fldChar w:fldCharType="separate"/>
          </w:r>
          <w:r>
            <w:rPr>
              <w:rFonts w:hint="default" w:ascii="楷体" w:hAnsi="楷体" w:eastAsia="楷体" w:cs="楷体"/>
              <w:b w:val="0"/>
              <w:bCs w:val="0"/>
              <w:smallCaps/>
              <w:color w:val="auto"/>
              <w:sz w:val="32"/>
              <w:szCs w:val="32"/>
              <w:highlight w:val="none"/>
              <w:lang w:eastAsia="zh-CN"/>
            </w:rPr>
            <w:t>（二）</w:t>
          </w:r>
          <w:r>
            <w:rPr>
              <w:rFonts w:hint="eastAsia" w:ascii="楷体" w:hAnsi="楷体" w:eastAsia="楷体" w:cs="楷体"/>
              <w:b w:val="0"/>
              <w:bCs w:val="0"/>
              <w:smallCaps/>
              <w:color w:val="auto"/>
              <w:sz w:val="32"/>
              <w:szCs w:val="32"/>
              <w:highlight w:val="none"/>
              <w:lang w:val="en-US" w:eastAsia="zh-CN"/>
            </w:rPr>
            <w:t>2022年部门整体支出情况</w:t>
          </w:r>
          <w:r>
            <w:rPr>
              <w:rFonts w:hint="eastAsia" w:ascii="楷体" w:hAnsi="楷体" w:eastAsia="楷体" w:cs="楷体"/>
              <w:b w:val="0"/>
              <w:bCs w:val="0"/>
              <w:smallCaps/>
              <w:color w:val="auto"/>
              <w:sz w:val="32"/>
              <w:szCs w:val="32"/>
              <w:highlight w:val="none"/>
            </w:rPr>
            <w:tab/>
          </w:r>
          <w:r>
            <w:rPr>
              <w:rFonts w:hint="eastAsia" w:ascii="楷体" w:hAnsi="楷体" w:eastAsia="楷体" w:cs="楷体"/>
              <w:b w:val="0"/>
              <w:bCs w:val="0"/>
              <w:smallCaps/>
              <w:color w:val="auto"/>
              <w:sz w:val="32"/>
              <w:szCs w:val="32"/>
              <w:highlight w:val="none"/>
            </w:rPr>
            <w:fldChar w:fldCharType="begin"/>
          </w:r>
          <w:r>
            <w:rPr>
              <w:rFonts w:hint="eastAsia" w:ascii="楷体" w:hAnsi="楷体" w:eastAsia="楷体" w:cs="楷体"/>
              <w:b w:val="0"/>
              <w:bCs w:val="0"/>
              <w:smallCaps/>
              <w:color w:val="auto"/>
              <w:sz w:val="32"/>
              <w:szCs w:val="32"/>
              <w:highlight w:val="none"/>
            </w:rPr>
            <w:instrText xml:space="preserve"> PAGEREF _Toc4359 \h </w:instrText>
          </w:r>
          <w:r>
            <w:rPr>
              <w:rFonts w:hint="eastAsia" w:ascii="楷体" w:hAnsi="楷体" w:eastAsia="楷体" w:cs="楷体"/>
              <w:b w:val="0"/>
              <w:bCs w:val="0"/>
              <w:smallCaps/>
              <w:color w:val="auto"/>
              <w:sz w:val="32"/>
              <w:szCs w:val="32"/>
              <w:highlight w:val="none"/>
            </w:rPr>
            <w:fldChar w:fldCharType="separate"/>
          </w:r>
          <w:r>
            <w:rPr>
              <w:rFonts w:hint="eastAsia" w:ascii="楷体" w:hAnsi="楷体" w:eastAsia="楷体" w:cs="楷体"/>
              <w:b w:val="0"/>
              <w:bCs w:val="0"/>
              <w:smallCaps/>
              <w:color w:val="auto"/>
              <w:sz w:val="32"/>
              <w:szCs w:val="32"/>
              <w:highlight w:val="none"/>
            </w:rPr>
            <w:t>5</w:t>
          </w:r>
          <w:r>
            <w:rPr>
              <w:rFonts w:hint="eastAsia" w:ascii="楷体" w:hAnsi="楷体" w:eastAsia="楷体" w:cs="楷体"/>
              <w:b w:val="0"/>
              <w:bCs w:val="0"/>
              <w:smallCaps/>
              <w:color w:val="auto"/>
              <w:sz w:val="32"/>
              <w:szCs w:val="32"/>
              <w:highlight w:val="none"/>
            </w:rPr>
            <w:fldChar w:fldCharType="end"/>
          </w:r>
          <w:r>
            <w:rPr>
              <w:rFonts w:hint="eastAsia" w:ascii="楷体" w:hAnsi="楷体" w:eastAsia="楷体" w:cs="楷体"/>
              <w:b w:val="0"/>
              <w:bCs w:val="0"/>
              <w:smallCaps/>
              <w:color w:val="auto"/>
              <w:sz w:val="32"/>
              <w:szCs w:val="32"/>
              <w:highlight w:val="none"/>
            </w:rPr>
            <w:fldChar w:fldCharType="end"/>
          </w:r>
        </w:p>
        <w:p w14:paraId="2293B4C2">
          <w:pPr>
            <w:pStyle w:val="18"/>
            <w:keepNext w:val="0"/>
            <w:keepLines w:val="0"/>
            <w:pageBreakBefore w:val="0"/>
            <w:widowControl w:val="0"/>
            <w:tabs>
              <w:tab w:val="right" w:leader="dot" w:pos="8732"/>
            </w:tabs>
            <w:kinsoku/>
            <w:wordWrap/>
            <w:overflowPunct/>
            <w:topLinePunct w:val="0"/>
            <w:autoSpaceDE/>
            <w:autoSpaceDN/>
            <w:bidi w:val="0"/>
            <w:adjustRightInd/>
            <w:snapToGrid/>
            <w:spacing w:line="312" w:lineRule="auto"/>
            <w:ind w:left="317" w:leftChars="0" w:firstLine="0" w:firstLineChars="0"/>
            <w:jc w:val="left"/>
            <w:textAlignment w:val="auto"/>
            <w:rPr>
              <w:rFonts w:hint="eastAsia" w:ascii="楷体" w:hAnsi="楷体" w:eastAsia="楷体" w:cs="楷体"/>
              <w:b w:val="0"/>
              <w:bCs w:val="0"/>
              <w:smallCaps/>
              <w:color w:val="auto"/>
              <w:sz w:val="32"/>
              <w:szCs w:val="32"/>
              <w:highlight w:val="none"/>
            </w:rPr>
          </w:pPr>
          <w:r>
            <w:rPr>
              <w:rFonts w:hint="eastAsia" w:ascii="楷体" w:hAnsi="楷体" w:eastAsia="楷体" w:cs="楷体"/>
              <w:b w:val="0"/>
              <w:bCs w:val="0"/>
              <w:smallCaps/>
              <w:color w:val="auto"/>
              <w:sz w:val="32"/>
              <w:szCs w:val="32"/>
              <w:highlight w:val="none"/>
            </w:rPr>
            <w:fldChar w:fldCharType="begin"/>
          </w:r>
          <w:r>
            <w:rPr>
              <w:rFonts w:hint="eastAsia" w:ascii="楷体" w:hAnsi="楷体" w:eastAsia="楷体" w:cs="楷体"/>
              <w:b w:val="0"/>
              <w:bCs w:val="0"/>
              <w:smallCaps/>
              <w:color w:val="auto"/>
              <w:sz w:val="32"/>
              <w:szCs w:val="32"/>
              <w:highlight w:val="none"/>
            </w:rPr>
            <w:instrText xml:space="preserve"> HYPERLINK \l _Toc22319 </w:instrText>
          </w:r>
          <w:r>
            <w:rPr>
              <w:rFonts w:hint="eastAsia" w:ascii="楷体" w:hAnsi="楷体" w:eastAsia="楷体" w:cs="楷体"/>
              <w:b w:val="0"/>
              <w:bCs w:val="0"/>
              <w:smallCaps/>
              <w:color w:val="auto"/>
              <w:sz w:val="32"/>
              <w:szCs w:val="32"/>
              <w:highlight w:val="none"/>
            </w:rPr>
            <w:fldChar w:fldCharType="separate"/>
          </w:r>
          <w:r>
            <w:rPr>
              <w:rFonts w:hint="eastAsia" w:ascii="楷体" w:hAnsi="楷体" w:eastAsia="楷体" w:cs="楷体"/>
              <w:b w:val="0"/>
              <w:bCs w:val="0"/>
              <w:smallCaps/>
              <w:color w:val="auto"/>
              <w:sz w:val="32"/>
              <w:szCs w:val="32"/>
              <w:highlight w:val="none"/>
            </w:rPr>
            <w:t>（三）</w:t>
          </w:r>
          <w:r>
            <w:rPr>
              <w:rFonts w:hint="eastAsia" w:ascii="楷体" w:hAnsi="楷体" w:eastAsia="楷体" w:cs="楷体"/>
              <w:b w:val="0"/>
              <w:bCs w:val="0"/>
              <w:smallCaps/>
              <w:color w:val="auto"/>
              <w:sz w:val="32"/>
              <w:szCs w:val="32"/>
              <w:highlight w:val="none"/>
              <w:lang w:val="en-US" w:eastAsia="zh-CN"/>
            </w:rPr>
            <w:t>2022年部门整体任务完成及绩效情况</w:t>
          </w:r>
          <w:r>
            <w:rPr>
              <w:rFonts w:hint="eastAsia" w:ascii="楷体" w:hAnsi="楷体" w:eastAsia="楷体" w:cs="楷体"/>
              <w:b w:val="0"/>
              <w:bCs w:val="0"/>
              <w:smallCaps/>
              <w:color w:val="auto"/>
              <w:sz w:val="32"/>
              <w:szCs w:val="32"/>
              <w:highlight w:val="none"/>
            </w:rPr>
            <w:tab/>
          </w:r>
          <w:r>
            <w:rPr>
              <w:rFonts w:hint="eastAsia" w:ascii="楷体" w:hAnsi="楷体" w:eastAsia="楷体" w:cs="楷体"/>
              <w:b w:val="0"/>
              <w:bCs w:val="0"/>
              <w:smallCaps/>
              <w:color w:val="auto"/>
              <w:sz w:val="32"/>
              <w:szCs w:val="32"/>
              <w:highlight w:val="none"/>
            </w:rPr>
            <w:fldChar w:fldCharType="begin"/>
          </w:r>
          <w:r>
            <w:rPr>
              <w:rFonts w:hint="eastAsia" w:ascii="楷体" w:hAnsi="楷体" w:eastAsia="楷体" w:cs="楷体"/>
              <w:b w:val="0"/>
              <w:bCs w:val="0"/>
              <w:smallCaps/>
              <w:color w:val="auto"/>
              <w:sz w:val="32"/>
              <w:szCs w:val="32"/>
              <w:highlight w:val="none"/>
            </w:rPr>
            <w:instrText xml:space="preserve"> PAGEREF _Toc22319 \h </w:instrText>
          </w:r>
          <w:r>
            <w:rPr>
              <w:rFonts w:hint="eastAsia" w:ascii="楷体" w:hAnsi="楷体" w:eastAsia="楷体" w:cs="楷体"/>
              <w:b w:val="0"/>
              <w:bCs w:val="0"/>
              <w:smallCaps/>
              <w:color w:val="auto"/>
              <w:sz w:val="32"/>
              <w:szCs w:val="32"/>
              <w:highlight w:val="none"/>
            </w:rPr>
            <w:fldChar w:fldCharType="separate"/>
          </w:r>
          <w:r>
            <w:rPr>
              <w:rFonts w:hint="eastAsia" w:ascii="楷体" w:hAnsi="楷体" w:eastAsia="楷体" w:cs="楷体"/>
              <w:b w:val="0"/>
              <w:bCs w:val="0"/>
              <w:smallCaps/>
              <w:color w:val="auto"/>
              <w:sz w:val="32"/>
              <w:szCs w:val="32"/>
              <w:highlight w:val="none"/>
            </w:rPr>
            <w:t>5</w:t>
          </w:r>
          <w:r>
            <w:rPr>
              <w:rFonts w:hint="eastAsia" w:ascii="楷体" w:hAnsi="楷体" w:eastAsia="楷体" w:cs="楷体"/>
              <w:b w:val="0"/>
              <w:bCs w:val="0"/>
              <w:smallCaps/>
              <w:color w:val="auto"/>
              <w:sz w:val="32"/>
              <w:szCs w:val="32"/>
              <w:highlight w:val="none"/>
            </w:rPr>
            <w:fldChar w:fldCharType="end"/>
          </w:r>
          <w:r>
            <w:rPr>
              <w:rFonts w:hint="eastAsia" w:ascii="楷体" w:hAnsi="楷体" w:eastAsia="楷体" w:cs="楷体"/>
              <w:b w:val="0"/>
              <w:bCs w:val="0"/>
              <w:smallCaps/>
              <w:color w:val="auto"/>
              <w:sz w:val="32"/>
              <w:szCs w:val="32"/>
              <w:highlight w:val="none"/>
            </w:rPr>
            <w:fldChar w:fldCharType="end"/>
          </w:r>
        </w:p>
        <w:p w14:paraId="1001BE4B">
          <w:pPr>
            <w:pStyle w:val="16"/>
            <w:keepNext w:val="0"/>
            <w:keepLines w:val="0"/>
            <w:pageBreakBefore w:val="0"/>
            <w:widowControl w:val="0"/>
            <w:tabs>
              <w:tab w:val="right" w:leader="dot" w:pos="8732"/>
            </w:tabs>
            <w:kinsoku/>
            <w:wordWrap/>
            <w:overflowPunct/>
            <w:topLinePunct w:val="0"/>
            <w:autoSpaceDE/>
            <w:autoSpaceDN/>
            <w:bidi w:val="0"/>
            <w:adjustRightInd/>
            <w:snapToGrid/>
            <w:spacing w:before="120" w:after="120" w:line="312" w:lineRule="auto"/>
            <w:ind w:firstLine="0" w:firstLineChars="0"/>
            <w:jc w:val="left"/>
            <w:textAlignment w:val="auto"/>
            <w:rPr>
              <w:rFonts w:hint="eastAsia" w:ascii="Times New Roman" w:hAnsi="Times New Roman" w:eastAsia="黑体" w:cs="Times New Roman"/>
              <w:b/>
              <w:bCs/>
              <w:caps/>
              <w:color w:val="auto"/>
              <w:sz w:val="32"/>
              <w:szCs w:val="32"/>
              <w:highlight w:val="none"/>
            </w:rPr>
          </w:pPr>
          <w:r>
            <w:rPr>
              <w:rFonts w:hint="eastAsia" w:ascii="Times New Roman" w:hAnsi="Times New Roman" w:eastAsia="黑体" w:cs="Times New Roman"/>
              <w:b/>
              <w:bCs/>
              <w:caps/>
              <w:color w:val="auto"/>
              <w:sz w:val="32"/>
              <w:szCs w:val="32"/>
              <w:highlight w:val="none"/>
            </w:rPr>
            <w:fldChar w:fldCharType="begin"/>
          </w:r>
          <w:r>
            <w:rPr>
              <w:rFonts w:hint="eastAsia" w:ascii="Times New Roman" w:hAnsi="Times New Roman" w:eastAsia="黑体" w:cs="Times New Roman"/>
              <w:b/>
              <w:bCs/>
              <w:caps/>
              <w:color w:val="auto"/>
              <w:sz w:val="32"/>
              <w:szCs w:val="32"/>
              <w:highlight w:val="none"/>
            </w:rPr>
            <w:instrText xml:space="preserve"> HYPERLINK \l _Toc27375 </w:instrText>
          </w:r>
          <w:r>
            <w:rPr>
              <w:rFonts w:hint="eastAsia" w:ascii="Times New Roman" w:hAnsi="Times New Roman" w:eastAsia="黑体" w:cs="Times New Roman"/>
              <w:b/>
              <w:bCs/>
              <w:caps/>
              <w:color w:val="auto"/>
              <w:sz w:val="32"/>
              <w:szCs w:val="32"/>
              <w:highlight w:val="none"/>
            </w:rPr>
            <w:fldChar w:fldCharType="separate"/>
          </w:r>
          <w:r>
            <w:rPr>
              <w:rFonts w:hint="eastAsia" w:ascii="Times New Roman" w:hAnsi="Times New Roman" w:eastAsia="黑体" w:cs="Times New Roman"/>
              <w:b/>
              <w:bCs/>
              <w:caps/>
              <w:color w:val="auto"/>
              <w:sz w:val="32"/>
              <w:szCs w:val="32"/>
              <w:highlight w:val="none"/>
            </w:rPr>
            <w:t>三、指标分析</w:t>
          </w:r>
          <w:r>
            <w:rPr>
              <w:rFonts w:hint="eastAsia" w:ascii="楷体" w:hAnsi="楷体" w:eastAsia="楷体" w:cs="楷体"/>
              <w:b w:val="0"/>
              <w:bCs w:val="0"/>
              <w:smallCaps/>
              <w:color w:val="auto"/>
              <w:kern w:val="2"/>
              <w:sz w:val="32"/>
              <w:szCs w:val="32"/>
              <w:highlight w:val="none"/>
              <w:lang w:val="en-US" w:eastAsia="zh-CN" w:bidi="ar-SA"/>
            </w:rPr>
            <w:tab/>
          </w:r>
          <w:r>
            <w:rPr>
              <w:rFonts w:hint="eastAsia" w:ascii="Times New Roman" w:hAnsi="Times New Roman" w:eastAsia="黑体" w:cs="Times New Roman"/>
              <w:b/>
              <w:bCs/>
              <w:caps/>
              <w:color w:val="auto"/>
              <w:sz w:val="32"/>
              <w:szCs w:val="32"/>
              <w:highlight w:val="none"/>
            </w:rPr>
            <w:fldChar w:fldCharType="begin"/>
          </w:r>
          <w:r>
            <w:rPr>
              <w:rFonts w:hint="eastAsia" w:ascii="Times New Roman" w:hAnsi="Times New Roman" w:eastAsia="黑体" w:cs="Times New Roman"/>
              <w:b/>
              <w:bCs/>
              <w:caps/>
              <w:color w:val="auto"/>
              <w:sz w:val="32"/>
              <w:szCs w:val="32"/>
              <w:highlight w:val="none"/>
            </w:rPr>
            <w:instrText xml:space="preserve"> PAGEREF _Toc27375 \h </w:instrText>
          </w:r>
          <w:r>
            <w:rPr>
              <w:rFonts w:hint="eastAsia" w:ascii="Times New Roman" w:hAnsi="Times New Roman" w:eastAsia="黑体" w:cs="Times New Roman"/>
              <w:b/>
              <w:bCs/>
              <w:caps/>
              <w:color w:val="auto"/>
              <w:sz w:val="32"/>
              <w:szCs w:val="32"/>
              <w:highlight w:val="none"/>
            </w:rPr>
            <w:fldChar w:fldCharType="separate"/>
          </w:r>
          <w:r>
            <w:rPr>
              <w:rFonts w:hint="eastAsia" w:ascii="Times New Roman" w:hAnsi="Times New Roman" w:eastAsia="黑体" w:cs="Times New Roman"/>
              <w:b/>
              <w:bCs/>
              <w:caps/>
              <w:color w:val="auto"/>
              <w:sz w:val="32"/>
              <w:szCs w:val="32"/>
              <w:highlight w:val="none"/>
            </w:rPr>
            <w:t>7</w:t>
          </w:r>
          <w:r>
            <w:rPr>
              <w:rFonts w:hint="eastAsia" w:ascii="Times New Roman" w:hAnsi="Times New Roman" w:eastAsia="黑体" w:cs="Times New Roman"/>
              <w:b/>
              <w:bCs/>
              <w:caps/>
              <w:color w:val="auto"/>
              <w:sz w:val="32"/>
              <w:szCs w:val="32"/>
              <w:highlight w:val="none"/>
            </w:rPr>
            <w:fldChar w:fldCharType="end"/>
          </w:r>
          <w:r>
            <w:rPr>
              <w:rFonts w:hint="eastAsia" w:ascii="Times New Roman" w:hAnsi="Times New Roman" w:eastAsia="黑体" w:cs="Times New Roman"/>
              <w:b/>
              <w:bCs/>
              <w:caps/>
              <w:color w:val="auto"/>
              <w:sz w:val="32"/>
              <w:szCs w:val="32"/>
              <w:highlight w:val="none"/>
            </w:rPr>
            <w:fldChar w:fldCharType="end"/>
          </w:r>
        </w:p>
        <w:p w14:paraId="53923BB7">
          <w:pPr>
            <w:pStyle w:val="18"/>
            <w:keepNext w:val="0"/>
            <w:keepLines w:val="0"/>
            <w:pageBreakBefore w:val="0"/>
            <w:widowControl w:val="0"/>
            <w:tabs>
              <w:tab w:val="right" w:leader="dot" w:pos="8732"/>
            </w:tabs>
            <w:kinsoku/>
            <w:wordWrap/>
            <w:overflowPunct/>
            <w:topLinePunct w:val="0"/>
            <w:autoSpaceDE/>
            <w:autoSpaceDN/>
            <w:bidi w:val="0"/>
            <w:adjustRightInd/>
            <w:snapToGrid/>
            <w:spacing w:line="312" w:lineRule="auto"/>
            <w:ind w:left="317" w:leftChars="0" w:firstLine="0" w:firstLineChars="0"/>
            <w:jc w:val="left"/>
            <w:textAlignment w:val="auto"/>
            <w:rPr>
              <w:rFonts w:hint="eastAsia" w:ascii="楷体" w:hAnsi="楷体" w:eastAsia="楷体" w:cs="楷体"/>
              <w:b w:val="0"/>
              <w:bCs w:val="0"/>
              <w:smallCaps/>
              <w:color w:val="auto"/>
              <w:sz w:val="32"/>
              <w:szCs w:val="32"/>
              <w:highlight w:val="none"/>
            </w:rPr>
          </w:pPr>
          <w:r>
            <w:rPr>
              <w:rFonts w:hint="eastAsia" w:ascii="楷体" w:hAnsi="楷体" w:eastAsia="楷体" w:cs="楷体"/>
              <w:b w:val="0"/>
              <w:bCs w:val="0"/>
              <w:smallCaps/>
              <w:color w:val="auto"/>
              <w:sz w:val="32"/>
              <w:szCs w:val="32"/>
              <w:highlight w:val="none"/>
            </w:rPr>
            <w:fldChar w:fldCharType="begin"/>
          </w:r>
          <w:r>
            <w:rPr>
              <w:rFonts w:hint="eastAsia" w:ascii="楷体" w:hAnsi="楷体" w:eastAsia="楷体" w:cs="楷体"/>
              <w:b w:val="0"/>
              <w:bCs w:val="0"/>
              <w:smallCaps/>
              <w:color w:val="auto"/>
              <w:sz w:val="32"/>
              <w:szCs w:val="32"/>
              <w:highlight w:val="none"/>
            </w:rPr>
            <w:instrText xml:space="preserve"> HYPERLINK \l _Toc9782 </w:instrText>
          </w:r>
          <w:r>
            <w:rPr>
              <w:rFonts w:hint="eastAsia" w:ascii="楷体" w:hAnsi="楷体" w:eastAsia="楷体" w:cs="楷体"/>
              <w:b w:val="0"/>
              <w:bCs w:val="0"/>
              <w:smallCaps/>
              <w:color w:val="auto"/>
              <w:sz w:val="32"/>
              <w:szCs w:val="32"/>
              <w:highlight w:val="none"/>
            </w:rPr>
            <w:fldChar w:fldCharType="separate"/>
          </w:r>
          <w:r>
            <w:rPr>
              <w:rFonts w:hint="eastAsia" w:ascii="楷体" w:hAnsi="楷体" w:eastAsia="楷体" w:cs="楷体"/>
              <w:b w:val="0"/>
              <w:bCs w:val="0"/>
              <w:smallCaps/>
              <w:color w:val="auto"/>
              <w:sz w:val="32"/>
              <w:szCs w:val="32"/>
              <w:highlight w:val="none"/>
            </w:rPr>
            <w:t>（一）</w:t>
          </w:r>
          <w:r>
            <w:rPr>
              <w:rFonts w:hint="eastAsia" w:ascii="楷体" w:hAnsi="楷体" w:eastAsia="楷体" w:cs="楷体"/>
              <w:b w:val="0"/>
              <w:bCs w:val="0"/>
              <w:smallCaps/>
              <w:color w:val="auto"/>
              <w:sz w:val="32"/>
              <w:szCs w:val="32"/>
              <w:highlight w:val="none"/>
              <w:lang w:val="en-US" w:eastAsia="zh-CN"/>
            </w:rPr>
            <w:t>预算编制情况</w:t>
          </w:r>
          <w:r>
            <w:rPr>
              <w:rFonts w:hint="eastAsia" w:ascii="楷体" w:hAnsi="楷体" w:eastAsia="楷体" w:cs="楷体"/>
              <w:b w:val="0"/>
              <w:bCs w:val="0"/>
              <w:smallCaps/>
              <w:color w:val="auto"/>
              <w:sz w:val="32"/>
              <w:szCs w:val="32"/>
              <w:highlight w:val="none"/>
            </w:rPr>
            <w:tab/>
          </w:r>
          <w:r>
            <w:rPr>
              <w:rFonts w:hint="eastAsia" w:ascii="楷体" w:hAnsi="楷体" w:eastAsia="楷体" w:cs="楷体"/>
              <w:b w:val="0"/>
              <w:bCs w:val="0"/>
              <w:smallCaps/>
              <w:color w:val="auto"/>
              <w:sz w:val="32"/>
              <w:szCs w:val="32"/>
              <w:highlight w:val="none"/>
            </w:rPr>
            <w:fldChar w:fldCharType="begin"/>
          </w:r>
          <w:r>
            <w:rPr>
              <w:rFonts w:hint="eastAsia" w:ascii="楷体" w:hAnsi="楷体" w:eastAsia="楷体" w:cs="楷体"/>
              <w:b w:val="0"/>
              <w:bCs w:val="0"/>
              <w:smallCaps/>
              <w:color w:val="auto"/>
              <w:sz w:val="32"/>
              <w:szCs w:val="32"/>
              <w:highlight w:val="none"/>
            </w:rPr>
            <w:instrText xml:space="preserve"> PAGEREF _Toc9782 \h </w:instrText>
          </w:r>
          <w:r>
            <w:rPr>
              <w:rFonts w:hint="eastAsia" w:ascii="楷体" w:hAnsi="楷体" w:eastAsia="楷体" w:cs="楷体"/>
              <w:b w:val="0"/>
              <w:bCs w:val="0"/>
              <w:smallCaps/>
              <w:color w:val="auto"/>
              <w:sz w:val="32"/>
              <w:szCs w:val="32"/>
              <w:highlight w:val="none"/>
            </w:rPr>
            <w:fldChar w:fldCharType="separate"/>
          </w:r>
          <w:r>
            <w:rPr>
              <w:rFonts w:hint="eastAsia" w:ascii="楷体" w:hAnsi="楷体" w:eastAsia="楷体" w:cs="楷体"/>
              <w:b w:val="0"/>
              <w:bCs w:val="0"/>
              <w:smallCaps/>
              <w:color w:val="auto"/>
              <w:sz w:val="32"/>
              <w:szCs w:val="32"/>
              <w:highlight w:val="none"/>
            </w:rPr>
            <w:t>8</w:t>
          </w:r>
          <w:r>
            <w:rPr>
              <w:rFonts w:hint="eastAsia" w:ascii="楷体" w:hAnsi="楷体" w:eastAsia="楷体" w:cs="楷体"/>
              <w:b w:val="0"/>
              <w:bCs w:val="0"/>
              <w:smallCaps/>
              <w:color w:val="auto"/>
              <w:sz w:val="32"/>
              <w:szCs w:val="32"/>
              <w:highlight w:val="none"/>
            </w:rPr>
            <w:fldChar w:fldCharType="end"/>
          </w:r>
          <w:r>
            <w:rPr>
              <w:rFonts w:hint="eastAsia" w:ascii="楷体" w:hAnsi="楷体" w:eastAsia="楷体" w:cs="楷体"/>
              <w:b w:val="0"/>
              <w:bCs w:val="0"/>
              <w:smallCaps/>
              <w:color w:val="auto"/>
              <w:sz w:val="32"/>
              <w:szCs w:val="32"/>
              <w:highlight w:val="none"/>
            </w:rPr>
            <w:fldChar w:fldCharType="end"/>
          </w:r>
        </w:p>
        <w:p w14:paraId="4702010D">
          <w:pPr>
            <w:pStyle w:val="18"/>
            <w:keepNext w:val="0"/>
            <w:keepLines w:val="0"/>
            <w:pageBreakBefore w:val="0"/>
            <w:widowControl w:val="0"/>
            <w:tabs>
              <w:tab w:val="right" w:leader="dot" w:pos="8732"/>
            </w:tabs>
            <w:kinsoku/>
            <w:wordWrap/>
            <w:overflowPunct/>
            <w:topLinePunct w:val="0"/>
            <w:autoSpaceDE/>
            <w:autoSpaceDN/>
            <w:bidi w:val="0"/>
            <w:adjustRightInd/>
            <w:snapToGrid/>
            <w:spacing w:line="312" w:lineRule="auto"/>
            <w:ind w:left="317" w:leftChars="0" w:firstLine="0" w:firstLineChars="0"/>
            <w:jc w:val="left"/>
            <w:textAlignment w:val="auto"/>
            <w:rPr>
              <w:rFonts w:hint="eastAsia" w:ascii="楷体" w:hAnsi="楷体" w:eastAsia="楷体" w:cs="楷体"/>
              <w:b w:val="0"/>
              <w:bCs w:val="0"/>
              <w:smallCaps/>
              <w:color w:val="auto"/>
              <w:sz w:val="32"/>
              <w:szCs w:val="32"/>
              <w:highlight w:val="none"/>
            </w:rPr>
          </w:pPr>
          <w:r>
            <w:rPr>
              <w:rFonts w:hint="eastAsia" w:ascii="楷体" w:hAnsi="楷体" w:eastAsia="楷体" w:cs="楷体"/>
              <w:b w:val="0"/>
              <w:bCs w:val="0"/>
              <w:smallCaps/>
              <w:color w:val="auto"/>
              <w:sz w:val="32"/>
              <w:szCs w:val="32"/>
              <w:highlight w:val="none"/>
            </w:rPr>
            <w:fldChar w:fldCharType="begin"/>
          </w:r>
          <w:r>
            <w:rPr>
              <w:rFonts w:hint="eastAsia" w:ascii="楷体" w:hAnsi="楷体" w:eastAsia="楷体" w:cs="楷体"/>
              <w:b w:val="0"/>
              <w:bCs w:val="0"/>
              <w:smallCaps/>
              <w:color w:val="auto"/>
              <w:sz w:val="32"/>
              <w:szCs w:val="32"/>
              <w:highlight w:val="none"/>
            </w:rPr>
            <w:instrText xml:space="preserve"> HYPERLINK \l _Toc21822 </w:instrText>
          </w:r>
          <w:r>
            <w:rPr>
              <w:rFonts w:hint="eastAsia" w:ascii="楷体" w:hAnsi="楷体" w:eastAsia="楷体" w:cs="楷体"/>
              <w:b w:val="0"/>
              <w:bCs w:val="0"/>
              <w:smallCaps/>
              <w:color w:val="auto"/>
              <w:sz w:val="32"/>
              <w:szCs w:val="32"/>
              <w:highlight w:val="none"/>
            </w:rPr>
            <w:fldChar w:fldCharType="separate"/>
          </w:r>
          <w:r>
            <w:rPr>
              <w:rFonts w:hint="eastAsia" w:ascii="楷体" w:hAnsi="楷体" w:eastAsia="楷体" w:cs="楷体"/>
              <w:b w:val="0"/>
              <w:bCs w:val="0"/>
              <w:smallCaps/>
              <w:color w:val="auto"/>
              <w:sz w:val="32"/>
              <w:szCs w:val="32"/>
              <w:highlight w:val="none"/>
            </w:rPr>
            <w:t>（二）</w:t>
          </w:r>
          <w:r>
            <w:rPr>
              <w:rFonts w:hint="eastAsia" w:ascii="楷体" w:hAnsi="楷体" w:eastAsia="楷体" w:cs="楷体"/>
              <w:b w:val="0"/>
              <w:bCs w:val="0"/>
              <w:smallCaps/>
              <w:color w:val="auto"/>
              <w:sz w:val="32"/>
              <w:szCs w:val="32"/>
              <w:highlight w:val="none"/>
              <w:lang w:val="en-US" w:eastAsia="zh-CN"/>
            </w:rPr>
            <w:t>预算执行情况</w:t>
          </w:r>
          <w:r>
            <w:rPr>
              <w:rFonts w:hint="eastAsia" w:ascii="楷体" w:hAnsi="楷体" w:eastAsia="楷体" w:cs="楷体"/>
              <w:b w:val="0"/>
              <w:bCs w:val="0"/>
              <w:smallCaps/>
              <w:color w:val="auto"/>
              <w:sz w:val="32"/>
              <w:szCs w:val="32"/>
              <w:highlight w:val="none"/>
            </w:rPr>
            <w:tab/>
          </w:r>
          <w:r>
            <w:rPr>
              <w:rFonts w:hint="eastAsia" w:ascii="楷体" w:hAnsi="楷体" w:eastAsia="楷体" w:cs="楷体"/>
              <w:b w:val="0"/>
              <w:bCs w:val="0"/>
              <w:smallCaps/>
              <w:color w:val="auto"/>
              <w:sz w:val="32"/>
              <w:szCs w:val="32"/>
              <w:highlight w:val="none"/>
            </w:rPr>
            <w:fldChar w:fldCharType="begin"/>
          </w:r>
          <w:r>
            <w:rPr>
              <w:rFonts w:hint="eastAsia" w:ascii="楷体" w:hAnsi="楷体" w:eastAsia="楷体" w:cs="楷体"/>
              <w:b w:val="0"/>
              <w:bCs w:val="0"/>
              <w:smallCaps/>
              <w:color w:val="auto"/>
              <w:sz w:val="32"/>
              <w:szCs w:val="32"/>
              <w:highlight w:val="none"/>
            </w:rPr>
            <w:instrText xml:space="preserve"> PAGEREF _Toc21822 \h </w:instrText>
          </w:r>
          <w:r>
            <w:rPr>
              <w:rFonts w:hint="eastAsia" w:ascii="楷体" w:hAnsi="楷体" w:eastAsia="楷体" w:cs="楷体"/>
              <w:b w:val="0"/>
              <w:bCs w:val="0"/>
              <w:smallCaps/>
              <w:color w:val="auto"/>
              <w:sz w:val="32"/>
              <w:szCs w:val="32"/>
              <w:highlight w:val="none"/>
            </w:rPr>
            <w:fldChar w:fldCharType="separate"/>
          </w:r>
          <w:r>
            <w:rPr>
              <w:rFonts w:hint="eastAsia" w:ascii="楷体" w:hAnsi="楷体" w:eastAsia="楷体" w:cs="楷体"/>
              <w:b w:val="0"/>
              <w:bCs w:val="0"/>
              <w:smallCaps/>
              <w:color w:val="auto"/>
              <w:sz w:val="32"/>
              <w:szCs w:val="32"/>
              <w:highlight w:val="none"/>
            </w:rPr>
            <w:t>9</w:t>
          </w:r>
          <w:r>
            <w:rPr>
              <w:rFonts w:hint="eastAsia" w:ascii="楷体" w:hAnsi="楷体" w:eastAsia="楷体" w:cs="楷体"/>
              <w:b w:val="0"/>
              <w:bCs w:val="0"/>
              <w:smallCaps/>
              <w:color w:val="auto"/>
              <w:sz w:val="32"/>
              <w:szCs w:val="32"/>
              <w:highlight w:val="none"/>
            </w:rPr>
            <w:fldChar w:fldCharType="end"/>
          </w:r>
          <w:r>
            <w:rPr>
              <w:rFonts w:hint="eastAsia" w:ascii="楷体" w:hAnsi="楷体" w:eastAsia="楷体" w:cs="楷体"/>
              <w:b w:val="0"/>
              <w:bCs w:val="0"/>
              <w:smallCaps/>
              <w:color w:val="auto"/>
              <w:sz w:val="32"/>
              <w:szCs w:val="32"/>
              <w:highlight w:val="none"/>
            </w:rPr>
            <w:fldChar w:fldCharType="end"/>
          </w:r>
        </w:p>
        <w:p w14:paraId="0FBF66CE">
          <w:pPr>
            <w:pStyle w:val="18"/>
            <w:keepNext w:val="0"/>
            <w:keepLines w:val="0"/>
            <w:pageBreakBefore w:val="0"/>
            <w:widowControl w:val="0"/>
            <w:tabs>
              <w:tab w:val="right" w:leader="dot" w:pos="8732"/>
            </w:tabs>
            <w:kinsoku/>
            <w:wordWrap/>
            <w:overflowPunct/>
            <w:topLinePunct w:val="0"/>
            <w:autoSpaceDE/>
            <w:autoSpaceDN/>
            <w:bidi w:val="0"/>
            <w:adjustRightInd/>
            <w:snapToGrid/>
            <w:spacing w:line="312" w:lineRule="auto"/>
            <w:ind w:left="317" w:leftChars="0" w:firstLine="0" w:firstLineChars="0"/>
            <w:jc w:val="left"/>
            <w:textAlignment w:val="auto"/>
            <w:rPr>
              <w:rFonts w:hint="eastAsia" w:ascii="楷体" w:hAnsi="楷体" w:eastAsia="楷体" w:cs="楷体"/>
              <w:b w:val="0"/>
              <w:bCs w:val="0"/>
              <w:smallCaps/>
              <w:color w:val="auto"/>
              <w:sz w:val="32"/>
              <w:szCs w:val="32"/>
              <w:highlight w:val="none"/>
            </w:rPr>
          </w:pPr>
          <w:r>
            <w:rPr>
              <w:rFonts w:hint="eastAsia" w:ascii="楷体" w:hAnsi="楷体" w:eastAsia="楷体" w:cs="楷体"/>
              <w:b w:val="0"/>
              <w:bCs w:val="0"/>
              <w:smallCaps/>
              <w:color w:val="auto"/>
              <w:sz w:val="32"/>
              <w:szCs w:val="32"/>
              <w:highlight w:val="none"/>
            </w:rPr>
            <w:fldChar w:fldCharType="begin"/>
          </w:r>
          <w:r>
            <w:rPr>
              <w:rFonts w:hint="eastAsia" w:ascii="楷体" w:hAnsi="楷体" w:eastAsia="楷体" w:cs="楷体"/>
              <w:b w:val="0"/>
              <w:bCs w:val="0"/>
              <w:smallCaps/>
              <w:color w:val="auto"/>
              <w:sz w:val="32"/>
              <w:szCs w:val="32"/>
              <w:highlight w:val="none"/>
            </w:rPr>
            <w:instrText xml:space="preserve"> HYPERLINK \l _Toc6206 </w:instrText>
          </w:r>
          <w:r>
            <w:rPr>
              <w:rFonts w:hint="eastAsia" w:ascii="楷体" w:hAnsi="楷体" w:eastAsia="楷体" w:cs="楷体"/>
              <w:b w:val="0"/>
              <w:bCs w:val="0"/>
              <w:smallCaps/>
              <w:color w:val="auto"/>
              <w:sz w:val="32"/>
              <w:szCs w:val="32"/>
              <w:highlight w:val="none"/>
            </w:rPr>
            <w:fldChar w:fldCharType="separate"/>
          </w:r>
          <w:r>
            <w:rPr>
              <w:rFonts w:hint="eastAsia" w:ascii="楷体" w:hAnsi="楷体" w:eastAsia="楷体" w:cs="楷体"/>
              <w:b w:val="0"/>
              <w:bCs w:val="0"/>
              <w:smallCaps/>
              <w:color w:val="auto"/>
              <w:sz w:val="32"/>
              <w:szCs w:val="32"/>
              <w:highlight w:val="none"/>
            </w:rPr>
            <w:t>（三）</w:t>
          </w:r>
          <w:r>
            <w:rPr>
              <w:rFonts w:hint="eastAsia" w:ascii="楷体" w:hAnsi="楷体" w:eastAsia="楷体" w:cs="楷体"/>
              <w:b w:val="0"/>
              <w:bCs w:val="0"/>
              <w:smallCaps/>
              <w:color w:val="auto"/>
              <w:sz w:val="32"/>
              <w:szCs w:val="32"/>
              <w:highlight w:val="none"/>
              <w:lang w:val="en-US" w:eastAsia="zh-CN"/>
            </w:rPr>
            <w:t>预算使用效益</w:t>
          </w:r>
          <w:r>
            <w:rPr>
              <w:rFonts w:hint="eastAsia" w:ascii="楷体" w:hAnsi="楷体" w:eastAsia="楷体" w:cs="楷体"/>
              <w:b w:val="0"/>
              <w:bCs w:val="0"/>
              <w:smallCaps/>
              <w:color w:val="auto"/>
              <w:sz w:val="32"/>
              <w:szCs w:val="32"/>
              <w:highlight w:val="none"/>
            </w:rPr>
            <w:tab/>
          </w:r>
          <w:r>
            <w:rPr>
              <w:rFonts w:hint="eastAsia" w:ascii="楷体" w:hAnsi="楷体" w:eastAsia="楷体" w:cs="楷体"/>
              <w:b w:val="0"/>
              <w:bCs w:val="0"/>
              <w:smallCaps/>
              <w:color w:val="auto"/>
              <w:sz w:val="32"/>
              <w:szCs w:val="32"/>
              <w:highlight w:val="none"/>
            </w:rPr>
            <w:fldChar w:fldCharType="begin"/>
          </w:r>
          <w:r>
            <w:rPr>
              <w:rFonts w:hint="eastAsia" w:ascii="楷体" w:hAnsi="楷体" w:eastAsia="楷体" w:cs="楷体"/>
              <w:b w:val="0"/>
              <w:bCs w:val="0"/>
              <w:smallCaps/>
              <w:color w:val="auto"/>
              <w:sz w:val="32"/>
              <w:szCs w:val="32"/>
              <w:highlight w:val="none"/>
            </w:rPr>
            <w:instrText xml:space="preserve"> PAGEREF _Toc6206 \h </w:instrText>
          </w:r>
          <w:r>
            <w:rPr>
              <w:rFonts w:hint="eastAsia" w:ascii="楷体" w:hAnsi="楷体" w:eastAsia="楷体" w:cs="楷体"/>
              <w:b w:val="0"/>
              <w:bCs w:val="0"/>
              <w:smallCaps/>
              <w:color w:val="auto"/>
              <w:sz w:val="32"/>
              <w:szCs w:val="32"/>
              <w:highlight w:val="none"/>
            </w:rPr>
            <w:fldChar w:fldCharType="separate"/>
          </w:r>
          <w:r>
            <w:rPr>
              <w:rFonts w:hint="eastAsia" w:ascii="楷体" w:hAnsi="楷体" w:eastAsia="楷体" w:cs="楷体"/>
              <w:b w:val="0"/>
              <w:bCs w:val="0"/>
              <w:smallCaps/>
              <w:color w:val="auto"/>
              <w:sz w:val="32"/>
              <w:szCs w:val="32"/>
              <w:highlight w:val="none"/>
            </w:rPr>
            <w:t>16</w:t>
          </w:r>
          <w:r>
            <w:rPr>
              <w:rFonts w:hint="eastAsia" w:ascii="楷体" w:hAnsi="楷体" w:eastAsia="楷体" w:cs="楷体"/>
              <w:b w:val="0"/>
              <w:bCs w:val="0"/>
              <w:smallCaps/>
              <w:color w:val="auto"/>
              <w:sz w:val="32"/>
              <w:szCs w:val="32"/>
              <w:highlight w:val="none"/>
            </w:rPr>
            <w:fldChar w:fldCharType="end"/>
          </w:r>
          <w:r>
            <w:rPr>
              <w:rFonts w:hint="eastAsia" w:ascii="楷体" w:hAnsi="楷体" w:eastAsia="楷体" w:cs="楷体"/>
              <w:b w:val="0"/>
              <w:bCs w:val="0"/>
              <w:smallCaps/>
              <w:color w:val="auto"/>
              <w:sz w:val="32"/>
              <w:szCs w:val="32"/>
              <w:highlight w:val="none"/>
            </w:rPr>
            <w:fldChar w:fldCharType="end"/>
          </w:r>
        </w:p>
        <w:p w14:paraId="0E06F784">
          <w:pPr>
            <w:pStyle w:val="18"/>
            <w:keepNext w:val="0"/>
            <w:keepLines w:val="0"/>
            <w:pageBreakBefore w:val="0"/>
            <w:widowControl w:val="0"/>
            <w:tabs>
              <w:tab w:val="right" w:leader="dot" w:pos="8732"/>
            </w:tabs>
            <w:kinsoku/>
            <w:wordWrap/>
            <w:overflowPunct/>
            <w:topLinePunct w:val="0"/>
            <w:autoSpaceDE/>
            <w:autoSpaceDN/>
            <w:bidi w:val="0"/>
            <w:adjustRightInd/>
            <w:snapToGrid/>
            <w:spacing w:line="312" w:lineRule="auto"/>
            <w:ind w:left="317" w:leftChars="0" w:firstLine="0" w:firstLineChars="0"/>
            <w:jc w:val="left"/>
            <w:textAlignment w:val="auto"/>
            <w:rPr>
              <w:rFonts w:hint="eastAsia" w:ascii="楷体" w:hAnsi="楷体" w:eastAsia="楷体" w:cs="楷体"/>
              <w:b w:val="0"/>
              <w:bCs w:val="0"/>
              <w:smallCaps/>
              <w:color w:val="auto"/>
              <w:sz w:val="32"/>
              <w:szCs w:val="32"/>
              <w:highlight w:val="none"/>
            </w:rPr>
          </w:pPr>
          <w:r>
            <w:rPr>
              <w:rFonts w:hint="eastAsia" w:ascii="楷体" w:hAnsi="楷体" w:eastAsia="楷体" w:cs="楷体"/>
              <w:b w:val="0"/>
              <w:bCs w:val="0"/>
              <w:smallCaps/>
              <w:color w:val="auto"/>
              <w:sz w:val="32"/>
              <w:szCs w:val="32"/>
              <w:highlight w:val="none"/>
            </w:rPr>
            <w:fldChar w:fldCharType="begin"/>
          </w:r>
          <w:r>
            <w:rPr>
              <w:rFonts w:hint="eastAsia" w:ascii="楷体" w:hAnsi="楷体" w:eastAsia="楷体" w:cs="楷体"/>
              <w:b w:val="0"/>
              <w:bCs w:val="0"/>
              <w:smallCaps/>
              <w:color w:val="auto"/>
              <w:sz w:val="32"/>
              <w:szCs w:val="32"/>
              <w:highlight w:val="none"/>
            </w:rPr>
            <w:instrText xml:space="preserve"> HYPERLINK \l _Toc18146 </w:instrText>
          </w:r>
          <w:r>
            <w:rPr>
              <w:rFonts w:hint="eastAsia" w:ascii="楷体" w:hAnsi="楷体" w:eastAsia="楷体" w:cs="楷体"/>
              <w:b w:val="0"/>
              <w:bCs w:val="0"/>
              <w:smallCaps/>
              <w:color w:val="auto"/>
              <w:sz w:val="32"/>
              <w:szCs w:val="32"/>
              <w:highlight w:val="none"/>
            </w:rPr>
            <w:fldChar w:fldCharType="separate"/>
          </w:r>
          <w:r>
            <w:rPr>
              <w:rFonts w:hint="eastAsia" w:ascii="楷体" w:hAnsi="楷体" w:eastAsia="楷体" w:cs="楷体"/>
              <w:b w:val="0"/>
              <w:bCs w:val="0"/>
              <w:smallCaps/>
              <w:color w:val="auto"/>
              <w:sz w:val="32"/>
              <w:szCs w:val="32"/>
              <w:highlight w:val="none"/>
            </w:rPr>
            <w:t>（四）</w:t>
          </w:r>
          <w:r>
            <w:rPr>
              <w:rFonts w:hint="eastAsia" w:ascii="楷体" w:hAnsi="楷体" w:eastAsia="楷体" w:cs="楷体"/>
              <w:b w:val="0"/>
              <w:bCs w:val="0"/>
              <w:smallCaps/>
              <w:color w:val="auto"/>
              <w:sz w:val="32"/>
              <w:szCs w:val="32"/>
              <w:highlight w:val="none"/>
              <w:lang w:val="en-US" w:eastAsia="zh-CN"/>
            </w:rPr>
            <w:t>加减分项</w:t>
          </w:r>
          <w:r>
            <w:rPr>
              <w:rFonts w:hint="eastAsia" w:ascii="楷体" w:hAnsi="楷体" w:eastAsia="楷体" w:cs="楷体"/>
              <w:b w:val="0"/>
              <w:bCs w:val="0"/>
              <w:smallCaps/>
              <w:color w:val="auto"/>
              <w:sz w:val="32"/>
              <w:szCs w:val="32"/>
              <w:highlight w:val="none"/>
            </w:rPr>
            <w:tab/>
          </w:r>
          <w:r>
            <w:rPr>
              <w:rFonts w:hint="eastAsia" w:ascii="楷体" w:hAnsi="楷体" w:eastAsia="楷体" w:cs="楷体"/>
              <w:b w:val="0"/>
              <w:bCs w:val="0"/>
              <w:smallCaps/>
              <w:color w:val="auto"/>
              <w:sz w:val="32"/>
              <w:szCs w:val="32"/>
              <w:highlight w:val="none"/>
            </w:rPr>
            <w:fldChar w:fldCharType="begin"/>
          </w:r>
          <w:r>
            <w:rPr>
              <w:rFonts w:hint="eastAsia" w:ascii="楷体" w:hAnsi="楷体" w:eastAsia="楷体" w:cs="楷体"/>
              <w:b w:val="0"/>
              <w:bCs w:val="0"/>
              <w:smallCaps/>
              <w:color w:val="auto"/>
              <w:sz w:val="32"/>
              <w:szCs w:val="32"/>
              <w:highlight w:val="none"/>
            </w:rPr>
            <w:instrText xml:space="preserve"> PAGEREF _Toc18146 \h </w:instrText>
          </w:r>
          <w:r>
            <w:rPr>
              <w:rFonts w:hint="eastAsia" w:ascii="楷体" w:hAnsi="楷体" w:eastAsia="楷体" w:cs="楷体"/>
              <w:b w:val="0"/>
              <w:bCs w:val="0"/>
              <w:smallCaps/>
              <w:color w:val="auto"/>
              <w:sz w:val="32"/>
              <w:szCs w:val="32"/>
              <w:highlight w:val="none"/>
            </w:rPr>
            <w:fldChar w:fldCharType="separate"/>
          </w:r>
          <w:r>
            <w:rPr>
              <w:rFonts w:hint="eastAsia" w:ascii="楷体" w:hAnsi="楷体" w:eastAsia="楷体" w:cs="楷体"/>
              <w:b w:val="0"/>
              <w:bCs w:val="0"/>
              <w:smallCaps/>
              <w:color w:val="auto"/>
              <w:sz w:val="32"/>
              <w:szCs w:val="32"/>
              <w:highlight w:val="none"/>
            </w:rPr>
            <w:t>19</w:t>
          </w:r>
          <w:r>
            <w:rPr>
              <w:rFonts w:hint="eastAsia" w:ascii="楷体" w:hAnsi="楷体" w:eastAsia="楷体" w:cs="楷体"/>
              <w:b w:val="0"/>
              <w:bCs w:val="0"/>
              <w:smallCaps/>
              <w:color w:val="auto"/>
              <w:sz w:val="32"/>
              <w:szCs w:val="32"/>
              <w:highlight w:val="none"/>
            </w:rPr>
            <w:fldChar w:fldCharType="end"/>
          </w:r>
          <w:r>
            <w:rPr>
              <w:rFonts w:hint="eastAsia" w:ascii="楷体" w:hAnsi="楷体" w:eastAsia="楷体" w:cs="楷体"/>
              <w:b w:val="0"/>
              <w:bCs w:val="0"/>
              <w:smallCaps/>
              <w:color w:val="auto"/>
              <w:sz w:val="32"/>
              <w:szCs w:val="32"/>
              <w:highlight w:val="none"/>
            </w:rPr>
            <w:fldChar w:fldCharType="end"/>
          </w:r>
        </w:p>
        <w:p w14:paraId="46E63FE8">
          <w:pPr>
            <w:pStyle w:val="18"/>
            <w:keepNext w:val="0"/>
            <w:keepLines w:val="0"/>
            <w:pageBreakBefore w:val="0"/>
            <w:widowControl w:val="0"/>
            <w:tabs>
              <w:tab w:val="right" w:leader="dot" w:pos="8732"/>
            </w:tabs>
            <w:kinsoku/>
            <w:wordWrap/>
            <w:overflowPunct/>
            <w:topLinePunct w:val="0"/>
            <w:autoSpaceDE/>
            <w:autoSpaceDN/>
            <w:bidi w:val="0"/>
            <w:adjustRightInd/>
            <w:snapToGrid/>
            <w:spacing w:line="312" w:lineRule="auto"/>
            <w:ind w:left="317" w:leftChars="0" w:firstLine="0" w:firstLineChars="0"/>
            <w:jc w:val="left"/>
            <w:textAlignment w:val="auto"/>
            <w:rPr>
              <w:color w:val="auto"/>
              <w:highlight w:val="none"/>
            </w:rPr>
          </w:pPr>
          <w:r>
            <w:rPr>
              <w:rFonts w:hint="eastAsia" w:ascii="楷体" w:hAnsi="楷体" w:eastAsia="楷体" w:cs="楷体"/>
              <w:b w:val="0"/>
              <w:bCs w:val="0"/>
              <w:smallCaps/>
              <w:color w:val="auto"/>
              <w:sz w:val="32"/>
              <w:szCs w:val="32"/>
              <w:highlight w:val="none"/>
            </w:rPr>
            <w:fldChar w:fldCharType="begin"/>
          </w:r>
          <w:r>
            <w:rPr>
              <w:rFonts w:hint="eastAsia" w:ascii="楷体" w:hAnsi="楷体" w:eastAsia="楷体" w:cs="楷体"/>
              <w:b w:val="0"/>
              <w:bCs w:val="0"/>
              <w:smallCaps/>
              <w:color w:val="auto"/>
              <w:sz w:val="32"/>
              <w:szCs w:val="32"/>
              <w:highlight w:val="none"/>
            </w:rPr>
            <w:instrText xml:space="preserve"> HYPERLINK \l _Toc23610 </w:instrText>
          </w:r>
          <w:r>
            <w:rPr>
              <w:rFonts w:hint="eastAsia" w:ascii="楷体" w:hAnsi="楷体" w:eastAsia="楷体" w:cs="楷体"/>
              <w:b w:val="0"/>
              <w:bCs w:val="0"/>
              <w:smallCaps/>
              <w:color w:val="auto"/>
              <w:sz w:val="32"/>
              <w:szCs w:val="32"/>
              <w:highlight w:val="none"/>
            </w:rPr>
            <w:fldChar w:fldCharType="separate"/>
          </w:r>
          <w:r>
            <w:rPr>
              <w:rFonts w:hint="eastAsia" w:ascii="楷体" w:hAnsi="楷体" w:eastAsia="楷体" w:cs="楷体"/>
              <w:b w:val="0"/>
              <w:bCs w:val="0"/>
              <w:smallCaps/>
              <w:color w:val="auto"/>
              <w:sz w:val="32"/>
              <w:szCs w:val="32"/>
              <w:highlight w:val="none"/>
              <w:lang w:val="en-US" w:eastAsia="zh-CN"/>
            </w:rPr>
            <w:t>（五）指标分析总结</w:t>
          </w:r>
          <w:r>
            <w:rPr>
              <w:rFonts w:hint="eastAsia" w:ascii="楷体" w:hAnsi="楷体" w:eastAsia="楷体" w:cs="楷体"/>
              <w:b w:val="0"/>
              <w:bCs w:val="0"/>
              <w:smallCaps/>
              <w:color w:val="auto"/>
              <w:sz w:val="32"/>
              <w:szCs w:val="32"/>
              <w:highlight w:val="none"/>
            </w:rPr>
            <w:tab/>
          </w:r>
          <w:r>
            <w:rPr>
              <w:rFonts w:hint="eastAsia" w:ascii="楷体" w:hAnsi="楷体" w:eastAsia="楷体" w:cs="楷体"/>
              <w:b w:val="0"/>
              <w:bCs w:val="0"/>
              <w:smallCaps/>
              <w:color w:val="auto"/>
              <w:sz w:val="32"/>
              <w:szCs w:val="32"/>
              <w:highlight w:val="none"/>
            </w:rPr>
            <w:fldChar w:fldCharType="begin"/>
          </w:r>
          <w:r>
            <w:rPr>
              <w:rFonts w:hint="eastAsia" w:ascii="楷体" w:hAnsi="楷体" w:eastAsia="楷体" w:cs="楷体"/>
              <w:b w:val="0"/>
              <w:bCs w:val="0"/>
              <w:smallCaps/>
              <w:color w:val="auto"/>
              <w:sz w:val="32"/>
              <w:szCs w:val="32"/>
              <w:highlight w:val="none"/>
            </w:rPr>
            <w:instrText xml:space="preserve"> PAGEREF _Toc23610 \h </w:instrText>
          </w:r>
          <w:r>
            <w:rPr>
              <w:rFonts w:hint="eastAsia" w:ascii="楷体" w:hAnsi="楷体" w:eastAsia="楷体" w:cs="楷体"/>
              <w:b w:val="0"/>
              <w:bCs w:val="0"/>
              <w:smallCaps/>
              <w:color w:val="auto"/>
              <w:sz w:val="32"/>
              <w:szCs w:val="32"/>
              <w:highlight w:val="none"/>
            </w:rPr>
            <w:fldChar w:fldCharType="separate"/>
          </w:r>
          <w:r>
            <w:rPr>
              <w:rFonts w:hint="eastAsia" w:ascii="楷体" w:hAnsi="楷体" w:eastAsia="楷体" w:cs="楷体"/>
              <w:b w:val="0"/>
              <w:bCs w:val="0"/>
              <w:smallCaps/>
              <w:color w:val="auto"/>
              <w:sz w:val="32"/>
              <w:szCs w:val="32"/>
              <w:highlight w:val="none"/>
            </w:rPr>
            <w:t>19</w:t>
          </w:r>
          <w:r>
            <w:rPr>
              <w:rFonts w:hint="eastAsia" w:ascii="楷体" w:hAnsi="楷体" w:eastAsia="楷体" w:cs="楷体"/>
              <w:b w:val="0"/>
              <w:bCs w:val="0"/>
              <w:smallCaps/>
              <w:color w:val="auto"/>
              <w:sz w:val="32"/>
              <w:szCs w:val="32"/>
              <w:highlight w:val="none"/>
            </w:rPr>
            <w:fldChar w:fldCharType="end"/>
          </w:r>
          <w:r>
            <w:rPr>
              <w:rFonts w:hint="eastAsia" w:ascii="楷体" w:hAnsi="楷体" w:eastAsia="楷体" w:cs="楷体"/>
              <w:b w:val="0"/>
              <w:bCs w:val="0"/>
              <w:smallCaps/>
              <w:color w:val="auto"/>
              <w:sz w:val="32"/>
              <w:szCs w:val="32"/>
              <w:highlight w:val="none"/>
            </w:rPr>
            <w:fldChar w:fldCharType="end"/>
          </w:r>
        </w:p>
        <w:p w14:paraId="4CFBA183">
          <w:pPr>
            <w:pStyle w:val="16"/>
            <w:keepNext w:val="0"/>
            <w:keepLines w:val="0"/>
            <w:pageBreakBefore w:val="0"/>
            <w:widowControl w:val="0"/>
            <w:tabs>
              <w:tab w:val="right" w:leader="dot" w:pos="8732"/>
            </w:tabs>
            <w:kinsoku/>
            <w:wordWrap/>
            <w:overflowPunct/>
            <w:topLinePunct w:val="0"/>
            <w:autoSpaceDE/>
            <w:autoSpaceDN/>
            <w:bidi w:val="0"/>
            <w:adjustRightInd/>
            <w:snapToGrid/>
            <w:spacing w:before="120" w:after="120" w:line="312" w:lineRule="auto"/>
            <w:ind w:firstLine="0" w:firstLineChars="0"/>
            <w:jc w:val="left"/>
            <w:textAlignment w:val="auto"/>
            <w:rPr>
              <w:rFonts w:hint="eastAsia" w:ascii="Times New Roman" w:hAnsi="Times New Roman" w:eastAsia="黑体" w:cs="Times New Roman"/>
              <w:b/>
              <w:bCs/>
              <w:caps/>
              <w:color w:val="auto"/>
              <w:sz w:val="32"/>
              <w:szCs w:val="32"/>
              <w:highlight w:val="none"/>
            </w:rPr>
          </w:pPr>
          <w:r>
            <w:rPr>
              <w:rFonts w:hint="eastAsia" w:ascii="Times New Roman" w:hAnsi="Times New Roman" w:eastAsia="黑体" w:cs="Times New Roman"/>
              <w:b/>
              <w:bCs/>
              <w:caps/>
              <w:color w:val="auto"/>
              <w:sz w:val="32"/>
              <w:szCs w:val="32"/>
              <w:highlight w:val="none"/>
            </w:rPr>
            <w:fldChar w:fldCharType="begin"/>
          </w:r>
          <w:r>
            <w:rPr>
              <w:rFonts w:hint="eastAsia" w:ascii="Times New Roman" w:hAnsi="Times New Roman" w:eastAsia="黑体" w:cs="Times New Roman"/>
              <w:b/>
              <w:bCs/>
              <w:caps/>
              <w:color w:val="auto"/>
              <w:sz w:val="32"/>
              <w:szCs w:val="32"/>
              <w:highlight w:val="none"/>
            </w:rPr>
            <w:instrText xml:space="preserve"> HYPERLINK \l _Toc24538 </w:instrText>
          </w:r>
          <w:r>
            <w:rPr>
              <w:rFonts w:hint="eastAsia" w:ascii="Times New Roman" w:hAnsi="Times New Roman" w:eastAsia="黑体" w:cs="Times New Roman"/>
              <w:b/>
              <w:bCs/>
              <w:caps/>
              <w:color w:val="auto"/>
              <w:sz w:val="32"/>
              <w:szCs w:val="32"/>
              <w:highlight w:val="none"/>
            </w:rPr>
            <w:fldChar w:fldCharType="separate"/>
          </w:r>
          <w:r>
            <w:rPr>
              <w:rFonts w:hint="eastAsia" w:ascii="Times New Roman" w:hAnsi="Times New Roman" w:eastAsia="黑体" w:cs="Times New Roman"/>
              <w:b/>
              <w:bCs/>
              <w:caps/>
              <w:color w:val="auto"/>
              <w:sz w:val="32"/>
              <w:szCs w:val="32"/>
              <w:highlight w:val="none"/>
            </w:rPr>
            <w:t>四、主要绩效</w:t>
          </w:r>
          <w:r>
            <w:rPr>
              <w:rFonts w:hint="eastAsia" w:ascii="楷体" w:hAnsi="楷体" w:eastAsia="楷体" w:cs="楷体"/>
              <w:b w:val="0"/>
              <w:bCs w:val="0"/>
              <w:smallCaps/>
              <w:color w:val="auto"/>
              <w:kern w:val="2"/>
              <w:sz w:val="32"/>
              <w:szCs w:val="32"/>
              <w:highlight w:val="none"/>
              <w:lang w:val="en-US" w:eastAsia="zh-CN" w:bidi="ar-SA"/>
            </w:rPr>
            <w:tab/>
          </w:r>
          <w:r>
            <w:rPr>
              <w:rFonts w:hint="eastAsia" w:ascii="Times New Roman" w:hAnsi="Times New Roman" w:eastAsia="黑体" w:cs="Times New Roman"/>
              <w:b/>
              <w:bCs/>
              <w:caps/>
              <w:color w:val="auto"/>
              <w:sz w:val="32"/>
              <w:szCs w:val="32"/>
              <w:highlight w:val="none"/>
            </w:rPr>
            <w:fldChar w:fldCharType="begin"/>
          </w:r>
          <w:r>
            <w:rPr>
              <w:rFonts w:hint="eastAsia" w:ascii="Times New Roman" w:hAnsi="Times New Roman" w:eastAsia="黑体" w:cs="Times New Roman"/>
              <w:b/>
              <w:bCs/>
              <w:caps/>
              <w:color w:val="auto"/>
              <w:sz w:val="32"/>
              <w:szCs w:val="32"/>
              <w:highlight w:val="none"/>
            </w:rPr>
            <w:instrText xml:space="preserve"> PAGEREF _Toc24538 \h </w:instrText>
          </w:r>
          <w:r>
            <w:rPr>
              <w:rFonts w:hint="eastAsia" w:ascii="Times New Roman" w:hAnsi="Times New Roman" w:eastAsia="黑体" w:cs="Times New Roman"/>
              <w:b/>
              <w:bCs/>
              <w:caps/>
              <w:color w:val="auto"/>
              <w:sz w:val="32"/>
              <w:szCs w:val="32"/>
              <w:highlight w:val="none"/>
            </w:rPr>
            <w:fldChar w:fldCharType="separate"/>
          </w:r>
          <w:r>
            <w:rPr>
              <w:rFonts w:hint="eastAsia" w:ascii="Times New Roman" w:hAnsi="Times New Roman" w:eastAsia="黑体" w:cs="Times New Roman"/>
              <w:b/>
              <w:bCs/>
              <w:caps/>
              <w:color w:val="auto"/>
              <w:sz w:val="32"/>
              <w:szCs w:val="32"/>
              <w:highlight w:val="none"/>
            </w:rPr>
            <w:t>21</w:t>
          </w:r>
          <w:r>
            <w:rPr>
              <w:rFonts w:hint="eastAsia" w:ascii="Times New Roman" w:hAnsi="Times New Roman" w:eastAsia="黑体" w:cs="Times New Roman"/>
              <w:b/>
              <w:bCs/>
              <w:caps/>
              <w:color w:val="auto"/>
              <w:sz w:val="32"/>
              <w:szCs w:val="32"/>
              <w:highlight w:val="none"/>
            </w:rPr>
            <w:fldChar w:fldCharType="end"/>
          </w:r>
          <w:r>
            <w:rPr>
              <w:rFonts w:hint="eastAsia" w:ascii="Times New Roman" w:hAnsi="Times New Roman" w:eastAsia="黑体" w:cs="Times New Roman"/>
              <w:b/>
              <w:bCs/>
              <w:caps/>
              <w:color w:val="auto"/>
              <w:sz w:val="32"/>
              <w:szCs w:val="32"/>
              <w:highlight w:val="none"/>
            </w:rPr>
            <w:fldChar w:fldCharType="end"/>
          </w:r>
        </w:p>
        <w:p w14:paraId="14CB617E">
          <w:pPr>
            <w:pStyle w:val="16"/>
            <w:keepNext w:val="0"/>
            <w:keepLines w:val="0"/>
            <w:pageBreakBefore w:val="0"/>
            <w:widowControl w:val="0"/>
            <w:tabs>
              <w:tab w:val="right" w:leader="dot" w:pos="8732"/>
            </w:tabs>
            <w:kinsoku/>
            <w:wordWrap/>
            <w:overflowPunct/>
            <w:topLinePunct w:val="0"/>
            <w:autoSpaceDE/>
            <w:autoSpaceDN/>
            <w:bidi w:val="0"/>
            <w:adjustRightInd/>
            <w:snapToGrid/>
            <w:spacing w:before="120" w:after="120" w:line="312" w:lineRule="auto"/>
            <w:ind w:firstLine="0" w:firstLineChars="0"/>
            <w:jc w:val="left"/>
            <w:textAlignment w:val="auto"/>
            <w:rPr>
              <w:rFonts w:hint="eastAsia" w:ascii="Times New Roman" w:hAnsi="Times New Roman" w:eastAsia="黑体" w:cs="Times New Roman"/>
              <w:b/>
              <w:bCs/>
              <w:caps/>
              <w:color w:val="auto"/>
              <w:sz w:val="32"/>
              <w:szCs w:val="32"/>
              <w:highlight w:val="none"/>
            </w:rPr>
          </w:pPr>
          <w:r>
            <w:rPr>
              <w:rFonts w:hint="eastAsia" w:ascii="Times New Roman" w:hAnsi="Times New Roman" w:eastAsia="黑体" w:cs="Times New Roman"/>
              <w:b/>
              <w:bCs/>
              <w:caps/>
              <w:color w:val="auto"/>
              <w:sz w:val="32"/>
              <w:szCs w:val="32"/>
              <w:highlight w:val="none"/>
            </w:rPr>
            <w:fldChar w:fldCharType="begin"/>
          </w:r>
          <w:r>
            <w:rPr>
              <w:rFonts w:hint="eastAsia" w:ascii="Times New Roman" w:hAnsi="Times New Roman" w:eastAsia="黑体" w:cs="Times New Roman"/>
              <w:b/>
              <w:bCs/>
              <w:caps/>
              <w:color w:val="auto"/>
              <w:sz w:val="32"/>
              <w:szCs w:val="32"/>
              <w:highlight w:val="none"/>
            </w:rPr>
            <w:instrText xml:space="preserve"> HYPERLINK \l _Toc21429 </w:instrText>
          </w:r>
          <w:r>
            <w:rPr>
              <w:rFonts w:hint="eastAsia" w:ascii="Times New Roman" w:hAnsi="Times New Roman" w:eastAsia="黑体" w:cs="Times New Roman"/>
              <w:b/>
              <w:bCs/>
              <w:caps/>
              <w:color w:val="auto"/>
              <w:sz w:val="32"/>
              <w:szCs w:val="32"/>
              <w:highlight w:val="none"/>
            </w:rPr>
            <w:fldChar w:fldCharType="separate"/>
          </w:r>
          <w:r>
            <w:rPr>
              <w:rFonts w:hint="eastAsia" w:ascii="Times New Roman" w:hAnsi="Times New Roman" w:eastAsia="黑体" w:cs="Times New Roman"/>
              <w:b/>
              <w:bCs/>
              <w:caps/>
              <w:color w:val="auto"/>
              <w:sz w:val="32"/>
              <w:szCs w:val="32"/>
              <w:highlight w:val="none"/>
            </w:rPr>
            <w:t>五、存在问题</w:t>
          </w:r>
          <w:r>
            <w:rPr>
              <w:rFonts w:hint="eastAsia" w:ascii="楷体" w:hAnsi="楷体" w:eastAsia="楷体" w:cs="楷体"/>
              <w:b w:val="0"/>
              <w:bCs w:val="0"/>
              <w:smallCaps/>
              <w:color w:val="auto"/>
              <w:kern w:val="2"/>
              <w:sz w:val="32"/>
              <w:szCs w:val="32"/>
              <w:highlight w:val="none"/>
              <w:lang w:val="en-US" w:eastAsia="zh-CN" w:bidi="ar-SA"/>
            </w:rPr>
            <w:tab/>
          </w:r>
          <w:r>
            <w:rPr>
              <w:rFonts w:hint="eastAsia" w:ascii="Times New Roman" w:hAnsi="Times New Roman" w:eastAsia="黑体" w:cs="Times New Roman"/>
              <w:b/>
              <w:bCs/>
              <w:caps/>
              <w:color w:val="auto"/>
              <w:sz w:val="32"/>
              <w:szCs w:val="32"/>
              <w:highlight w:val="none"/>
            </w:rPr>
            <w:fldChar w:fldCharType="begin"/>
          </w:r>
          <w:r>
            <w:rPr>
              <w:rFonts w:hint="eastAsia" w:ascii="Times New Roman" w:hAnsi="Times New Roman" w:eastAsia="黑体" w:cs="Times New Roman"/>
              <w:b/>
              <w:bCs/>
              <w:caps/>
              <w:color w:val="auto"/>
              <w:sz w:val="32"/>
              <w:szCs w:val="32"/>
              <w:highlight w:val="none"/>
            </w:rPr>
            <w:instrText xml:space="preserve"> PAGEREF _Toc21429 \h </w:instrText>
          </w:r>
          <w:r>
            <w:rPr>
              <w:rFonts w:hint="eastAsia" w:ascii="Times New Roman" w:hAnsi="Times New Roman" w:eastAsia="黑体" w:cs="Times New Roman"/>
              <w:b/>
              <w:bCs/>
              <w:caps/>
              <w:color w:val="auto"/>
              <w:sz w:val="32"/>
              <w:szCs w:val="32"/>
              <w:highlight w:val="none"/>
            </w:rPr>
            <w:fldChar w:fldCharType="separate"/>
          </w:r>
          <w:r>
            <w:rPr>
              <w:rFonts w:hint="eastAsia" w:ascii="Times New Roman" w:hAnsi="Times New Roman" w:eastAsia="黑体" w:cs="Times New Roman"/>
              <w:b/>
              <w:bCs/>
              <w:caps/>
              <w:color w:val="auto"/>
              <w:sz w:val="32"/>
              <w:szCs w:val="32"/>
              <w:highlight w:val="none"/>
            </w:rPr>
            <w:t>22</w:t>
          </w:r>
          <w:r>
            <w:rPr>
              <w:rFonts w:hint="eastAsia" w:ascii="Times New Roman" w:hAnsi="Times New Roman" w:eastAsia="黑体" w:cs="Times New Roman"/>
              <w:b/>
              <w:bCs/>
              <w:caps/>
              <w:color w:val="auto"/>
              <w:sz w:val="32"/>
              <w:szCs w:val="32"/>
              <w:highlight w:val="none"/>
            </w:rPr>
            <w:fldChar w:fldCharType="end"/>
          </w:r>
          <w:r>
            <w:rPr>
              <w:rFonts w:hint="eastAsia" w:ascii="Times New Roman" w:hAnsi="Times New Roman" w:eastAsia="黑体" w:cs="Times New Roman"/>
              <w:b/>
              <w:bCs/>
              <w:caps/>
              <w:color w:val="auto"/>
              <w:sz w:val="32"/>
              <w:szCs w:val="32"/>
              <w:highlight w:val="none"/>
            </w:rPr>
            <w:fldChar w:fldCharType="end"/>
          </w:r>
        </w:p>
        <w:p w14:paraId="38E3897E">
          <w:pPr>
            <w:pStyle w:val="18"/>
            <w:keepNext w:val="0"/>
            <w:keepLines w:val="0"/>
            <w:pageBreakBefore w:val="0"/>
            <w:widowControl w:val="0"/>
            <w:tabs>
              <w:tab w:val="right" w:leader="dot" w:pos="8732"/>
            </w:tabs>
            <w:kinsoku/>
            <w:wordWrap/>
            <w:overflowPunct/>
            <w:topLinePunct w:val="0"/>
            <w:autoSpaceDE/>
            <w:autoSpaceDN/>
            <w:bidi w:val="0"/>
            <w:adjustRightInd/>
            <w:snapToGrid/>
            <w:spacing w:line="312" w:lineRule="auto"/>
            <w:ind w:left="317" w:leftChars="0" w:firstLine="0" w:firstLineChars="0"/>
            <w:jc w:val="left"/>
            <w:textAlignment w:val="auto"/>
            <w:rPr>
              <w:rFonts w:hint="eastAsia" w:ascii="楷体" w:hAnsi="楷体" w:eastAsia="楷体" w:cs="楷体"/>
              <w:b w:val="0"/>
              <w:bCs w:val="0"/>
              <w:smallCaps/>
              <w:color w:val="auto"/>
              <w:sz w:val="32"/>
              <w:szCs w:val="32"/>
              <w:highlight w:val="none"/>
            </w:rPr>
          </w:pPr>
          <w:r>
            <w:rPr>
              <w:rFonts w:hint="eastAsia" w:ascii="楷体" w:hAnsi="楷体" w:eastAsia="楷体" w:cs="楷体"/>
              <w:b w:val="0"/>
              <w:bCs w:val="0"/>
              <w:smallCaps/>
              <w:color w:val="auto"/>
              <w:sz w:val="32"/>
              <w:szCs w:val="32"/>
              <w:highlight w:val="none"/>
            </w:rPr>
            <w:fldChar w:fldCharType="begin"/>
          </w:r>
          <w:r>
            <w:rPr>
              <w:rFonts w:hint="eastAsia" w:ascii="楷体" w:hAnsi="楷体" w:eastAsia="楷体" w:cs="楷体"/>
              <w:b w:val="0"/>
              <w:bCs w:val="0"/>
              <w:smallCaps/>
              <w:color w:val="auto"/>
              <w:sz w:val="32"/>
              <w:szCs w:val="32"/>
              <w:highlight w:val="none"/>
            </w:rPr>
            <w:instrText xml:space="preserve"> HYPERLINK \l _Toc24287 </w:instrText>
          </w:r>
          <w:r>
            <w:rPr>
              <w:rFonts w:hint="eastAsia" w:ascii="楷体" w:hAnsi="楷体" w:eastAsia="楷体" w:cs="楷体"/>
              <w:b w:val="0"/>
              <w:bCs w:val="0"/>
              <w:smallCaps/>
              <w:color w:val="auto"/>
              <w:sz w:val="32"/>
              <w:szCs w:val="32"/>
              <w:highlight w:val="none"/>
            </w:rPr>
            <w:fldChar w:fldCharType="separate"/>
          </w:r>
          <w:r>
            <w:rPr>
              <w:rFonts w:hint="eastAsia" w:ascii="楷体" w:hAnsi="楷体" w:eastAsia="楷体" w:cs="楷体"/>
              <w:b w:val="0"/>
              <w:bCs w:val="0"/>
              <w:smallCaps/>
              <w:color w:val="auto"/>
              <w:sz w:val="32"/>
              <w:szCs w:val="32"/>
              <w:highlight w:val="none"/>
              <w:lang w:val="en-US" w:eastAsia="zh-CN"/>
            </w:rPr>
            <w:t>（一）固定资产管理欠规范，资产盘点不到位</w:t>
          </w:r>
          <w:r>
            <w:rPr>
              <w:rFonts w:hint="eastAsia" w:ascii="楷体" w:hAnsi="楷体" w:eastAsia="楷体" w:cs="楷体"/>
              <w:b w:val="0"/>
              <w:bCs w:val="0"/>
              <w:smallCaps/>
              <w:color w:val="auto"/>
              <w:sz w:val="32"/>
              <w:szCs w:val="32"/>
              <w:highlight w:val="none"/>
            </w:rPr>
            <w:tab/>
          </w:r>
          <w:r>
            <w:rPr>
              <w:rFonts w:hint="eastAsia" w:ascii="楷体" w:hAnsi="楷体" w:eastAsia="楷体" w:cs="楷体"/>
              <w:b w:val="0"/>
              <w:bCs w:val="0"/>
              <w:smallCaps/>
              <w:color w:val="auto"/>
              <w:sz w:val="32"/>
              <w:szCs w:val="32"/>
              <w:highlight w:val="none"/>
            </w:rPr>
            <w:fldChar w:fldCharType="begin"/>
          </w:r>
          <w:r>
            <w:rPr>
              <w:rFonts w:hint="eastAsia" w:ascii="楷体" w:hAnsi="楷体" w:eastAsia="楷体" w:cs="楷体"/>
              <w:b w:val="0"/>
              <w:bCs w:val="0"/>
              <w:smallCaps/>
              <w:color w:val="auto"/>
              <w:sz w:val="32"/>
              <w:szCs w:val="32"/>
              <w:highlight w:val="none"/>
            </w:rPr>
            <w:instrText xml:space="preserve"> PAGEREF _Toc24287 \h </w:instrText>
          </w:r>
          <w:r>
            <w:rPr>
              <w:rFonts w:hint="eastAsia" w:ascii="楷体" w:hAnsi="楷体" w:eastAsia="楷体" w:cs="楷体"/>
              <w:b w:val="0"/>
              <w:bCs w:val="0"/>
              <w:smallCaps/>
              <w:color w:val="auto"/>
              <w:sz w:val="32"/>
              <w:szCs w:val="32"/>
              <w:highlight w:val="none"/>
            </w:rPr>
            <w:fldChar w:fldCharType="separate"/>
          </w:r>
          <w:r>
            <w:rPr>
              <w:rFonts w:hint="eastAsia" w:ascii="楷体" w:hAnsi="楷体" w:eastAsia="楷体" w:cs="楷体"/>
              <w:b w:val="0"/>
              <w:bCs w:val="0"/>
              <w:smallCaps/>
              <w:color w:val="auto"/>
              <w:sz w:val="32"/>
              <w:szCs w:val="32"/>
              <w:highlight w:val="none"/>
            </w:rPr>
            <w:t>22</w:t>
          </w:r>
          <w:r>
            <w:rPr>
              <w:rFonts w:hint="eastAsia" w:ascii="楷体" w:hAnsi="楷体" w:eastAsia="楷体" w:cs="楷体"/>
              <w:b w:val="0"/>
              <w:bCs w:val="0"/>
              <w:smallCaps/>
              <w:color w:val="auto"/>
              <w:sz w:val="32"/>
              <w:szCs w:val="32"/>
              <w:highlight w:val="none"/>
            </w:rPr>
            <w:fldChar w:fldCharType="end"/>
          </w:r>
          <w:r>
            <w:rPr>
              <w:rFonts w:hint="eastAsia" w:ascii="楷体" w:hAnsi="楷体" w:eastAsia="楷体" w:cs="楷体"/>
              <w:b w:val="0"/>
              <w:bCs w:val="0"/>
              <w:smallCaps/>
              <w:color w:val="auto"/>
              <w:sz w:val="32"/>
              <w:szCs w:val="32"/>
              <w:highlight w:val="none"/>
            </w:rPr>
            <w:fldChar w:fldCharType="end"/>
          </w:r>
        </w:p>
        <w:p w14:paraId="07516566">
          <w:pPr>
            <w:pStyle w:val="18"/>
            <w:keepNext w:val="0"/>
            <w:keepLines w:val="0"/>
            <w:pageBreakBefore w:val="0"/>
            <w:widowControl w:val="0"/>
            <w:tabs>
              <w:tab w:val="right" w:leader="dot" w:pos="8732"/>
            </w:tabs>
            <w:kinsoku/>
            <w:wordWrap/>
            <w:overflowPunct/>
            <w:topLinePunct w:val="0"/>
            <w:autoSpaceDE/>
            <w:autoSpaceDN/>
            <w:bidi w:val="0"/>
            <w:adjustRightInd/>
            <w:snapToGrid/>
            <w:spacing w:line="312" w:lineRule="auto"/>
            <w:ind w:left="317" w:leftChars="0" w:firstLine="0" w:firstLineChars="0"/>
            <w:jc w:val="left"/>
            <w:textAlignment w:val="auto"/>
            <w:rPr>
              <w:rFonts w:hint="eastAsia" w:ascii="楷体" w:hAnsi="楷体" w:eastAsia="楷体" w:cs="楷体"/>
              <w:b w:val="0"/>
              <w:bCs w:val="0"/>
              <w:smallCaps/>
              <w:color w:val="auto"/>
              <w:sz w:val="32"/>
              <w:szCs w:val="32"/>
              <w:highlight w:val="none"/>
            </w:rPr>
          </w:pPr>
          <w:r>
            <w:rPr>
              <w:rFonts w:hint="eastAsia" w:ascii="楷体" w:hAnsi="楷体" w:eastAsia="楷体" w:cs="楷体"/>
              <w:b w:val="0"/>
              <w:bCs w:val="0"/>
              <w:smallCaps/>
              <w:color w:val="auto"/>
              <w:sz w:val="32"/>
              <w:szCs w:val="32"/>
              <w:highlight w:val="none"/>
            </w:rPr>
            <w:fldChar w:fldCharType="begin"/>
          </w:r>
          <w:r>
            <w:rPr>
              <w:rFonts w:hint="eastAsia" w:ascii="楷体" w:hAnsi="楷体" w:eastAsia="楷体" w:cs="楷体"/>
              <w:b w:val="0"/>
              <w:bCs w:val="0"/>
              <w:smallCaps/>
              <w:color w:val="auto"/>
              <w:sz w:val="32"/>
              <w:szCs w:val="32"/>
              <w:highlight w:val="none"/>
            </w:rPr>
            <w:instrText xml:space="preserve"> HYPERLINK \l _Toc8286 </w:instrText>
          </w:r>
          <w:r>
            <w:rPr>
              <w:rFonts w:hint="eastAsia" w:ascii="楷体" w:hAnsi="楷体" w:eastAsia="楷体" w:cs="楷体"/>
              <w:b w:val="0"/>
              <w:bCs w:val="0"/>
              <w:smallCaps/>
              <w:color w:val="auto"/>
              <w:sz w:val="32"/>
              <w:szCs w:val="32"/>
              <w:highlight w:val="none"/>
            </w:rPr>
            <w:fldChar w:fldCharType="separate"/>
          </w:r>
          <w:r>
            <w:rPr>
              <w:rFonts w:hint="eastAsia" w:ascii="楷体" w:hAnsi="楷体" w:eastAsia="楷体" w:cs="楷体"/>
              <w:b w:val="0"/>
              <w:bCs w:val="0"/>
              <w:smallCaps/>
              <w:color w:val="auto"/>
              <w:sz w:val="32"/>
              <w:szCs w:val="32"/>
              <w:highlight w:val="none"/>
              <w:lang w:val="en-US" w:eastAsia="zh-CN"/>
            </w:rPr>
            <w:t>（二）项目立项欠科学，项目管理体系不完善</w:t>
          </w:r>
          <w:r>
            <w:rPr>
              <w:rFonts w:hint="eastAsia" w:ascii="楷体" w:hAnsi="楷体" w:eastAsia="楷体" w:cs="楷体"/>
              <w:b w:val="0"/>
              <w:bCs w:val="0"/>
              <w:smallCaps/>
              <w:color w:val="auto"/>
              <w:sz w:val="32"/>
              <w:szCs w:val="32"/>
              <w:highlight w:val="none"/>
            </w:rPr>
            <w:tab/>
          </w:r>
          <w:r>
            <w:rPr>
              <w:rFonts w:hint="eastAsia" w:ascii="楷体" w:hAnsi="楷体" w:eastAsia="楷体" w:cs="楷体"/>
              <w:b w:val="0"/>
              <w:bCs w:val="0"/>
              <w:smallCaps/>
              <w:color w:val="auto"/>
              <w:sz w:val="32"/>
              <w:szCs w:val="32"/>
              <w:highlight w:val="none"/>
            </w:rPr>
            <w:fldChar w:fldCharType="begin"/>
          </w:r>
          <w:r>
            <w:rPr>
              <w:rFonts w:hint="eastAsia" w:ascii="楷体" w:hAnsi="楷体" w:eastAsia="楷体" w:cs="楷体"/>
              <w:b w:val="0"/>
              <w:bCs w:val="0"/>
              <w:smallCaps/>
              <w:color w:val="auto"/>
              <w:sz w:val="32"/>
              <w:szCs w:val="32"/>
              <w:highlight w:val="none"/>
            </w:rPr>
            <w:instrText xml:space="preserve"> PAGEREF _Toc8286 \h </w:instrText>
          </w:r>
          <w:r>
            <w:rPr>
              <w:rFonts w:hint="eastAsia" w:ascii="楷体" w:hAnsi="楷体" w:eastAsia="楷体" w:cs="楷体"/>
              <w:b w:val="0"/>
              <w:bCs w:val="0"/>
              <w:smallCaps/>
              <w:color w:val="auto"/>
              <w:sz w:val="32"/>
              <w:szCs w:val="32"/>
              <w:highlight w:val="none"/>
            </w:rPr>
            <w:fldChar w:fldCharType="separate"/>
          </w:r>
          <w:r>
            <w:rPr>
              <w:rFonts w:hint="eastAsia" w:ascii="楷体" w:hAnsi="楷体" w:eastAsia="楷体" w:cs="楷体"/>
              <w:b w:val="0"/>
              <w:bCs w:val="0"/>
              <w:smallCaps/>
              <w:color w:val="auto"/>
              <w:sz w:val="32"/>
              <w:szCs w:val="32"/>
              <w:highlight w:val="none"/>
            </w:rPr>
            <w:t>23</w:t>
          </w:r>
          <w:r>
            <w:rPr>
              <w:rFonts w:hint="eastAsia" w:ascii="楷体" w:hAnsi="楷体" w:eastAsia="楷体" w:cs="楷体"/>
              <w:b w:val="0"/>
              <w:bCs w:val="0"/>
              <w:smallCaps/>
              <w:color w:val="auto"/>
              <w:sz w:val="32"/>
              <w:szCs w:val="32"/>
              <w:highlight w:val="none"/>
            </w:rPr>
            <w:fldChar w:fldCharType="end"/>
          </w:r>
          <w:r>
            <w:rPr>
              <w:rFonts w:hint="eastAsia" w:ascii="楷体" w:hAnsi="楷体" w:eastAsia="楷体" w:cs="楷体"/>
              <w:b w:val="0"/>
              <w:bCs w:val="0"/>
              <w:smallCaps/>
              <w:color w:val="auto"/>
              <w:sz w:val="32"/>
              <w:szCs w:val="32"/>
              <w:highlight w:val="none"/>
            </w:rPr>
            <w:fldChar w:fldCharType="end"/>
          </w:r>
        </w:p>
        <w:p w14:paraId="1D4E4AF2">
          <w:pPr>
            <w:pStyle w:val="18"/>
            <w:keepNext w:val="0"/>
            <w:keepLines w:val="0"/>
            <w:pageBreakBefore w:val="0"/>
            <w:widowControl w:val="0"/>
            <w:tabs>
              <w:tab w:val="right" w:leader="dot" w:pos="8732"/>
            </w:tabs>
            <w:kinsoku/>
            <w:wordWrap/>
            <w:overflowPunct/>
            <w:topLinePunct w:val="0"/>
            <w:autoSpaceDE/>
            <w:autoSpaceDN/>
            <w:bidi w:val="0"/>
            <w:adjustRightInd/>
            <w:snapToGrid/>
            <w:spacing w:line="312" w:lineRule="auto"/>
            <w:ind w:left="317" w:leftChars="0" w:firstLine="0" w:firstLineChars="0"/>
            <w:jc w:val="left"/>
            <w:textAlignment w:val="auto"/>
            <w:rPr>
              <w:color w:val="auto"/>
              <w:highlight w:val="none"/>
            </w:rPr>
          </w:pPr>
          <w:r>
            <w:rPr>
              <w:rFonts w:hint="eastAsia" w:ascii="楷体" w:hAnsi="楷体" w:eastAsia="楷体" w:cs="楷体"/>
              <w:b w:val="0"/>
              <w:bCs w:val="0"/>
              <w:smallCaps/>
              <w:color w:val="auto"/>
              <w:sz w:val="32"/>
              <w:szCs w:val="32"/>
              <w:highlight w:val="none"/>
            </w:rPr>
            <w:fldChar w:fldCharType="begin"/>
          </w:r>
          <w:r>
            <w:rPr>
              <w:rFonts w:hint="eastAsia" w:ascii="楷体" w:hAnsi="楷体" w:eastAsia="楷体" w:cs="楷体"/>
              <w:b w:val="0"/>
              <w:bCs w:val="0"/>
              <w:smallCaps/>
              <w:color w:val="auto"/>
              <w:sz w:val="32"/>
              <w:szCs w:val="32"/>
              <w:highlight w:val="none"/>
            </w:rPr>
            <w:instrText xml:space="preserve"> HYPERLINK \l _Toc11612 </w:instrText>
          </w:r>
          <w:r>
            <w:rPr>
              <w:rFonts w:hint="eastAsia" w:ascii="楷体" w:hAnsi="楷体" w:eastAsia="楷体" w:cs="楷体"/>
              <w:b w:val="0"/>
              <w:bCs w:val="0"/>
              <w:smallCaps/>
              <w:color w:val="auto"/>
              <w:sz w:val="32"/>
              <w:szCs w:val="32"/>
              <w:highlight w:val="none"/>
            </w:rPr>
            <w:fldChar w:fldCharType="separate"/>
          </w:r>
          <w:r>
            <w:rPr>
              <w:rFonts w:hint="eastAsia" w:ascii="楷体" w:hAnsi="楷体" w:eastAsia="楷体" w:cs="楷体"/>
              <w:b w:val="0"/>
              <w:bCs w:val="0"/>
              <w:smallCaps/>
              <w:color w:val="auto"/>
              <w:sz w:val="32"/>
              <w:szCs w:val="32"/>
              <w:highlight w:val="none"/>
              <w:lang w:val="en-US" w:eastAsia="zh-CN"/>
            </w:rPr>
            <w:t>（三）部门目标不明指标不清，绩效管理有待进一步落实</w:t>
          </w:r>
          <w:r>
            <w:rPr>
              <w:rFonts w:hint="eastAsia" w:ascii="楷体" w:hAnsi="楷体" w:eastAsia="楷体" w:cs="楷体"/>
              <w:b w:val="0"/>
              <w:bCs w:val="0"/>
              <w:smallCaps/>
              <w:color w:val="auto"/>
              <w:sz w:val="32"/>
              <w:szCs w:val="32"/>
              <w:highlight w:val="none"/>
            </w:rPr>
            <w:tab/>
          </w:r>
          <w:r>
            <w:rPr>
              <w:rFonts w:hint="eastAsia" w:ascii="楷体" w:hAnsi="楷体" w:eastAsia="楷体" w:cs="楷体"/>
              <w:b w:val="0"/>
              <w:bCs w:val="0"/>
              <w:smallCaps/>
              <w:color w:val="auto"/>
              <w:sz w:val="32"/>
              <w:szCs w:val="32"/>
              <w:highlight w:val="none"/>
            </w:rPr>
            <w:fldChar w:fldCharType="begin"/>
          </w:r>
          <w:r>
            <w:rPr>
              <w:rFonts w:hint="eastAsia" w:ascii="楷体" w:hAnsi="楷体" w:eastAsia="楷体" w:cs="楷体"/>
              <w:b w:val="0"/>
              <w:bCs w:val="0"/>
              <w:smallCaps/>
              <w:color w:val="auto"/>
              <w:sz w:val="32"/>
              <w:szCs w:val="32"/>
              <w:highlight w:val="none"/>
            </w:rPr>
            <w:instrText xml:space="preserve"> PAGEREF _Toc11612 \h </w:instrText>
          </w:r>
          <w:r>
            <w:rPr>
              <w:rFonts w:hint="eastAsia" w:ascii="楷体" w:hAnsi="楷体" w:eastAsia="楷体" w:cs="楷体"/>
              <w:b w:val="0"/>
              <w:bCs w:val="0"/>
              <w:smallCaps/>
              <w:color w:val="auto"/>
              <w:sz w:val="32"/>
              <w:szCs w:val="32"/>
              <w:highlight w:val="none"/>
            </w:rPr>
            <w:fldChar w:fldCharType="separate"/>
          </w:r>
          <w:r>
            <w:rPr>
              <w:rFonts w:hint="eastAsia" w:ascii="楷体" w:hAnsi="楷体" w:eastAsia="楷体" w:cs="楷体"/>
              <w:b w:val="0"/>
              <w:bCs w:val="0"/>
              <w:smallCaps/>
              <w:color w:val="auto"/>
              <w:sz w:val="32"/>
              <w:szCs w:val="32"/>
              <w:highlight w:val="none"/>
            </w:rPr>
            <w:t>23</w:t>
          </w:r>
          <w:r>
            <w:rPr>
              <w:rFonts w:hint="eastAsia" w:ascii="楷体" w:hAnsi="楷体" w:eastAsia="楷体" w:cs="楷体"/>
              <w:b w:val="0"/>
              <w:bCs w:val="0"/>
              <w:smallCaps/>
              <w:color w:val="auto"/>
              <w:sz w:val="32"/>
              <w:szCs w:val="32"/>
              <w:highlight w:val="none"/>
            </w:rPr>
            <w:fldChar w:fldCharType="end"/>
          </w:r>
          <w:r>
            <w:rPr>
              <w:rFonts w:hint="eastAsia" w:ascii="楷体" w:hAnsi="楷体" w:eastAsia="楷体" w:cs="楷体"/>
              <w:b w:val="0"/>
              <w:bCs w:val="0"/>
              <w:smallCaps/>
              <w:color w:val="auto"/>
              <w:sz w:val="32"/>
              <w:szCs w:val="32"/>
              <w:highlight w:val="none"/>
            </w:rPr>
            <w:fldChar w:fldCharType="end"/>
          </w:r>
        </w:p>
        <w:p w14:paraId="0994DF13">
          <w:pPr>
            <w:pStyle w:val="16"/>
            <w:keepNext w:val="0"/>
            <w:keepLines w:val="0"/>
            <w:pageBreakBefore w:val="0"/>
            <w:widowControl w:val="0"/>
            <w:tabs>
              <w:tab w:val="right" w:leader="dot" w:pos="8732"/>
            </w:tabs>
            <w:kinsoku/>
            <w:wordWrap/>
            <w:overflowPunct/>
            <w:topLinePunct w:val="0"/>
            <w:autoSpaceDE/>
            <w:autoSpaceDN/>
            <w:bidi w:val="0"/>
            <w:adjustRightInd/>
            <w:snapToGrid/>
            <w:spacing w:before="120" w:after="120" w:line="312" w:lineRule="auto"/>
            <w:ind w:firstLine="0" w:firstLineChars="0"/>
            <w:jc w:val="left"/>
            <w:textAlignment w:val="auto"/>
            <w:rPr>
              <w:rFonts w:hint="eastAsia" w:ascii="Times New Roman" w:hAnsi="Times New Roman" w:eastAsia="黑体" w:cs="Times New Roman"/>
              <w:b/>
              <w:bCs/>
              <w:caps/>
              <w:color w:val="auto"/>
              <w:sz w:val="32"/>
              <w:szCs w:val="32"/>
              <w:highlight w:val="none"/>
            </w:rPr>
          </w:pPr>
          <w:r>
            <w:rPr>
              <w:rFonts w:hint="eastAsia" w:ascii="Times New Roman" w:hAnsi="Times New Roman" w:eastAsia="黑体" w:cs="Times New Roman"/>
              <w:b/>
              <w:bCs/>
              <w:caps/>
              <w:color w:val="auto"/>
              <w:sz w:val="32"/>
              <w:szCs w:val="32"/>
              <w:highlight w:val="none"/>
            </w:rPr>
            <w:fldChar w:fldCharType="begin"/>
          </w:r>
          <w:r>
            <w:rPr>
              <w:rFonts w:hint="eastAsia" w:ascii="Times New Roman" w:hAnsi="Times New Roman" w:eastAsia="黑体" w:cs="Times New Roman"/>
              <w:b/>
              <w:bCs/>
              <w:caps/>
              <w:color w:val="auto"/>
              <w:sz w:val="32"/>
              <w:szCs w:val="32"/>
              <w:highlight w:val="none"/>
            </w:rPr>
            <w:instrText xml:space="preserve"> HYPERLINK \l _Toc25245 </w:instrText>
          </w:r>
          <w:r>
            <w:rPr>
              <w:rFonts w:hint="eastAsia" w:ascii="Times New Roman" w:hAnsi="Times New Roman" w:eastAsia="黑体" w:cs="Times New Roman"/>
              <w:b/>
              <w:bCs/>
              <w:caps/>
              <w:color w:val="auto"/>
              <w:sz w:val="32"/>
              <w:szCs w:val="32"/>
              <w:highlight w:val="none"/>
            </w:rPr>
            <w:fldChar w:fldCharType="separate"/>
          </w:r>
          <w:r>
            <w:rPr>
              <w:rFonts w:hint="eastAsia" w:ascii="Times New Roman" w:hAnsi="Times New Roman" w:eastAsia="黑体" w:cs="Times New Roman"/>
              <w:b/>
              <w:bCs/>
              <w:caps/>
              <w:color w:val="auto"/>
              <w:sz w:val="32"/>
              <w:szCs w:val="32"/>
              <w:highlight w:val="none"/>
            </w:rPr>
            <w:t>六、改进建议</w:t>
          </w:r>
          <w:r>
            <w:rPr>
              <w:rFonts w:hint="eastAsia" w:ascii="楷体" w:hAnsi="楷体" w:eastAsia="楷体" w:cs="楷体"/>
              <w:b w:val="0"/>
              <w:bCs w:val="0"/>
              <w:smallCaps/>
              <w:color w:val="auto"/>
              <w:kern w:val="2"/>
              <w:sz w:val="32"/>
              <w:szCs w:val="32"/>
              <w:highlight w:val="none"/>
              <w:lang w:val="en-US" w:eastAsia="zh-CN" w:bidi="ar-SA"/>
            </w:rPr>
            <w:tab/>
          </w:r>
          <w:r>
            <w:rPr>
              <w:rFonts w:hint="eastAsia" w:ascii="Times New Roman" w:hAnsi="Times New Roman" w:eastAsia="黑体" w:cs="Times New Roman"/>
              <w:b/>
              <w:bCs/>
              <w:caps/>
              <w:color w:val="auto"/>
              <w:sz w:val="32"/>
              <w:szCs w:val="32"/>
              <w:highlight w:val="none"/>
            </w:rPr>
            <w:fldChar w:fldCharType="begin"/>
          </w:r>
          <w:r>
            <w:rPr>
              <w:rFonts w:hint="eastAsia" w:ascii="Times New Roman" w:hAnsi="Times New Roman" w:eastAsia="黑体" w:cs="Times New Roman"/>
              <w:b/>
              <w:bCs/>
              <w:caps/>
              <w:color w:val="auto"/>
              <w:sz w:val="32"/>
              <w:szCs w:val="32"/>
              <w:highlight w:val="none"/>
            </w:rPr>
            <w:instrText xml:space="preserve"> PAGEREF _Toc25245 \h </w:instrText>
          </w:r>
          <w:r>
            <w:rPr>
              <w:rFonts w:hint="eastAsia" w:ascii="Times New Roman" w:hAnsi="Times New Roman" w:eastAsia="黑体" w:cs="Times New Roman"/>
              <w:b/>
              <w:bCs/>
              <w:caps/>
              <w:color w:val="auto"/>
              <w:sz w:val="32"/>
              <w:szCs w:val="32"/>
              <w:highlight w:val="none"/>
            </w:rPr>
            <w:fldChar w:fldCharType="separate"/>
          </w:r>
          <w:r>
            <w:rPr>
              <w:rFonts w:hint="eastAsia" w:ascii="Times New Roman" w:hAnsi="Times New Roman" w:eastAsia="黑体" w:cs="Times New Roman"/>
              <w:b/>
              <w:bCs/>
              <w:caps/>
              <w:color w:val="auto"/>
              <w:sz w:val="32"/>
              <w:szCs w:val="32"/>
              <w:highlight w:val="none"/>
            </w:rPr>
            <w:t>24</w:t>
          </w:r>
          <w:r>
            <w:rPr>
              <w:rFonts w:hint="eastAsia" w:ascii="Times New Roman" w:hAnsi="Times New Roman" w:eastAsia="黑体" w:cs="Times New Roman"/>
              <w:b/>
              <w:bCs/>
              <w:caps/>
              <w:color w:val="auto"/>
              <w:sz w:val="32"/>
              <w:szCs w:val="32"/>
              <w:highlight w:val="none"/>
            </w:rPr>
            <w:fldChar w:fldCharType="end"/>
          </w:r>
          <w:r>
            <w:rPr>
              <w:rFonts w:hint="eastAsia" w:ascii="Times New Roman" w:hAnsi="Times New Roman" w:eastAsia="黑体" w:cs="Times New Roman"/>
              <w:b/>
              <w:bCs/>
              <w:caps/>
              <w:color w:val="auto"/>
              <w:sz w:val="32"/>
              <w:szCs w:val="32"/>
              <w:highlight w:val="none"/>
            </w:rPr>
            <w:fldChar w:fldCharType="end"/>
          </w:r>
        </w:p>
        <w:p w14:paraId="339E1B75">
          <w:pPr>
            <w:pStyle w:val="18"/>
            <w:keepNext w:val="0"/>
            <w:keepLines w:val="0"/>
            <w:pageBreakBefore w:val="0"/>
            <w:widowControl w:val="0"/>
            <w:tabs>
              <w:tab w:val="right" w:leader="dot" w:pos="8732"/>
            </w:tabs>
            <w:kinsoku/>
            <w:wordWrap/>
            <w:overflowPunct/>
            <w:topLinePunct w:val="0"/>
            <w:autoSpaceDE/>
            <w:autoSpaceDN/>
            <w:bidi w:val="0"/>
            <w:adjustRightInd/>
            <w:snapToGrid/>
            <w:spacing w:line="312" w:lineRule="auto"/>
            <w:ind w:left="317" w:leftChars="0" w:firstLine="0" w:firstLineChars="0"/>
            <w:jc w:val="left"/>
            <w:textAlignment w:val="auto"/>
            <w:rPr>
              <w:rFonts w:hint="eastAsia" w:ascii="楷体" w:hAnsi="楷体" w:eastAsia="楷体" w:cs="楷体"/>
              <w:b w:val="0"/>
              <w:bCs w:val="0"/>
              <w:smallCaps/>
              <w:color w:val="auto"/>
              <w:sz w:val="32"/>
              <w:szCs w:val="32"/>
              <w:highlight w:val="none"/>
            </w:rPr>
          </w:pPr>
          <w:r>
            <w:rPr>
              <w:rFonts w:hint="eastAsia" w:ascii="楷体" w:hAnsi="楷体" w:eastAsia="楷体" w:cs="楷体"/>
              <w:b w:val="0"/>
              <w:bCs w:val="0"/>
              <w:smallCaps/>
              <w:color w:val="auto"/>
              <w:sz w:val="32"/>
              <w:szCs w:val="32"/>
              <w:highlight w:val="none"/>
            </w:rPr>
            <w:fldChar w:fldCharType="begin"/>
          </w:r>
          <w:r>
            <w:rPr>
              <w:rFonts w:hint="eastAsia" w:ascii="楷体" w:hAnsi="楷体" w:eastAsia="楷体" w:cs="楷体"/>
              <w:b w:val="0"/>
              <w:bCs w:val="0"/>
              <w:smallCaps/>
              <w:color w:val="auto"/>
              <w:sz w:val="32"/>
              <w:szCs w:val="32"/>
              <w:highlight w:val="none"/>
            </w:rPr>
            <w:instrText xml:space="preserve"> HYPERLINK \l _Toc31770 </w:instrText>
          </w:r>
          <w:r>
            <w:rPr>
              <w:rFonts w:hint="eastAsia" w:ascii="楷体" w:hAnsi="楷体" w:eastAsia="楷体" w:cs="楷体"/>
              <w:b w:val="0"/>
              <w:bCs w:val="0"/>
              <w:smallCaps/>
              <w:color w:val="auto"/>
              <w:sz w:val="32"/>
              <w:szCs w:val="32"/>
              <w:highlight w:val="none"/>
            </w:rPr>
            <w:fldChar w:fldCharType="separate"/>
          </w:r>
          <w:r>
            <w:rPr>
              <w:rFonts w:hint="eastAsia" w:ascii="楷体" w:hAnsi="楷体" w:eastAsia="楷体" w:cs="楷体"/>
              <w:b w:val="0"/>
              <w:bCs w:val="0"/>
              <w:smallCaps/>
              <w:color w:val="auto"/>
              <w:sz w:val="32"/>
              <w:szCs w:val="32"/>
              <w:highlight w:val="none"/>
              <w:lang w:val="en-US" w:eastAsia="zh-CN"/>
            </w:rPr>
            <w:t>（一）通过定期盘点、确保资产合法性等，规范固定资产管理</w:t>
          </w:r>
          <w:r>
            <w:rPr>
              <w:rFonts w:hint="eastAsia" w:ascii="楷体" w:hAnsi="楷体" w:eastAsia="楷体" w:cs="楷体"/>
              <w:b w:val="0"/>
              <w:bCs w:val="0"/>
              <w:smallCaps/>
              <w:color w:val="auto"/>
              <w:sz w:val="32"/>
              <w:szCs w:val="32"/>
              <w:highlight w:val="none"/>
            </w:rPr>
            <w:tab/>
          </w:r>
          <w:r>
            <w:rPr>
              <w:rFonts w:hint="eastAsia" w:ascii="楷体" w:hAnsi="楷体" w:eastAsia="楷体" w:cs="楷体"/>
              <w:b w:val="0"/>
              <w:bCs w:val="0"/>
              <w:smallCaps/>
              <w:color w:val="auto"/>
              <w:sz w:val="32"/>
              <w:szCs w:val="32"/>
              <w:highlight w:val="none"/>
            </w:rPr>
            <w:fldChar w:fldCharType="begin"/>
          </w:r>
          <w:r>
            <w:rPr>
              <w:rFonts w:hint="eastAsia" w:ascii="楷体" w:hAnsi="楷体" w:eastAsia="楷体" w:cs="楷体"/>
              <w:b w:val="0"/>
              <w:bCs w:val="0"/>
              <w:smallCaps/>
              <w:color w:val="auto"/>
              <w:sz w:val="32"/>
              <w:szCs w:val="32"/>
              <w:highlight w:val="none"/>
            </w:rPr>
            <w:instrText xml:space="preserve"> PAGEREF _Toc31770 \h </w:instrText>
          </w:r>
          <w:r>
            <w:rPr>
              <w:rFonts w:hint="eastAsia" w:ascii="楷体" w:hAnsi="楷体" w:eastAsia="楷体" w:cs="楷体"/>
              <w:b w:val="0"/>
              <w:bCs w:val="0"/>
              <w:smallCaps/>
              <w:color w:val="auto"/>
              <w:sz w:val="32"/>
              <w:szCs w:val="32"/>
              <w:highlight w:val="none"/>
            </w:rPr>
            <w:fldChar w:fldCharType="separate"/>
          </w:r>
          <w:r>
            <w:rPr>
              <w:rFonts w:hint="eastAsia" w:ascii="楷体" w:hAnsi="楷体" w:eastAsia="楷体" w:cs="楷体"/>
              <w:b w:val="0"/>
              <w:bCs w:val="0"/>
              <w:smallCaps/>
              <w:color w:val="auto"/>
              <w:sz w:val="32"/>
              <w:szCs w:val="32"/>
              <w:highlight w:val="none"/>
            </w:rPr>
            <w:t>24</w:t>
          </w:r>
          <w:r>
            <w:rPr>
              <w:rFonts w:hint="eastAsia" w:ascii="楷体" w:hAnsi="楷体" w:eastAsia="楷体" w:cs="楷体"/>
              <w:b w:val="0"/>
              <w:bCs w:val="0"/>
              <w:smallCaps/>
              <w:color w:val="auto"/>
              <w:sz w:val="32"/>
              <w:szCs w:val="32"/>
              <w:highlight w:val="none"/>
            </w:rPr>
            <w:fldChar w:fldCharType="end"/>
          </w:r>
          <w:r>
            <w:rPr>
              <w:rFonts w:hint="eastAsia" w:ascii="楷体" w:hAnsi="楷体" w:eastAsia="楷体" w:cs="楷体"/>
              <w:b w:val="0"/>
              <w:bCs w:val="0"/>
              <w:smallCaps/>
              <w:color w:val="auto"/>
              <w:sz w:val="32"/>
              <w:szCs w:val="32"/>
              <w:highlight w:val="none"/>
            </w:rPr>
            <w:fldChar w:fldCharType="end"/>
          </w:r>
        </w:p>
        <w:p w14:paraId="0AC1041D">
          <w:pPr>
            <w:pStyle w:val="18"/>
            <w:keepNext w:val="0"/>
            <w:keepLines w:val="0"/>
            <w:pageBreakBefore w:val="0"/>
            <w:widowControl w:val="0"/>
            <w:tabs>
              <w:tab w:val="right" w:leader="dot" w:pos="8732"/>
            </w:tabs>
            <w:kinsoku/>
            <w:wordWrap/>
            <w:overflowPunct/>
            <w:topLinePunct w:val="0"/>
            <w:autoSpaceDE/>
            <w:autoSpaceDN/>
            <w:bidi w:val="0"/>
            <w:adjustRightInd/>
            <w:snapToGrid/>
            <w:spacing w:line="312" w:lineRule="auto"/>
            <w:ind w:left="317" w:leftChars="0" w:firstLine="0" w:firstLineChars="0"/>
            <w:jc w:val="left"/>
            <w:textAlignment w:val="auto"/>
            <w:rPr>
              <w:rFonts w:hint="eastAsia" w:ascii="楷体" w:hAnsi="楷体" w:eastAsia="楷体" w:cs="楷体"/>
              <w:b w:val="0"/>
              <w:bCs w:val="0"/>
              <w:smallCaps/>
              <w:color w:val="auto"/>
              <w:sz w:val="32"/>
              <w:szCs w:val="32"/>
              <w:highlight w:val="none"/>
            </w:rPr>
          </w:pPr>
          <w:r>
            <w:rPr>
              <w:rFonts w:hint="eastAsia" w:ascii="楷体" w:hAnsi="楷体" w:eastAsia="楷体" w:cs="楷体"/>
              <w:b w:val="0"/>
              <w:bCs w:val="0"/>
              <w:smallCaps/>
              <w:color w:val="auto"/>
              <w:sz w:val="32"/>
              <w:szCs w:val="32"/>
              <w:highlight w:val="none"/>
            </w:rPr>
            <w:fldChar w:fldCharType="begin"/>
          </w:r>
          <w:r>
            <w:rPr>
              <w:rFonts w:hint="eastAsia" w:ascii="楷体" w:hAnsi="楷体" w:eastAsia="楷体" w:cs="楷体"/>
              <w:b w:val="0"/>
              <w:bCs w:val="0"/>
              <w:smallCaps/>
              <w:color w:val="auto"/>
              <w:sz w:val="32"/>
              <w:szCs w:val="32"/>
              <w:highlight w:val="none"/>
            </w:rPr>
            <w:instrText xml:space="preserve"> HYPERLINK \l _Toc23059 </w:instrText>
          </w:r>
          <w:r>
            <w:rPr>
              <w:rFonts w:hint="eastAsia" w:ascii="楷体" w:hAnsi="楷体" w:eastAsia="楷体" w:cs="楷体"/>
              <w:b w:val="0"/>
              <w:bCs w:val="0"/>
              <w:smallCaps/>
              <w:color w:val="auto"/>
              <w:sz w:val="32"/>
              <w:szCs w:val="32"/>
              <w:highlight w:val="none"/>
            </w:rPr>
            <w:fldChar w:fldCharType="separate"/>
          </w:r>
          <w:r>
            <w:rPr>
              <w:rFonts w:hint="eastAsia" w:ascii="楷体" w:hAnsi="楷体" w:eastAsia="楷体" w:cs="楷体"/>
              <w:b w:val="0"/>
              <w:bCs w:val="0"/>
              <w:smallCaps/>
              <w:color w:val="auto"/>
              <w:sz w:val="32"/>
              <w:szCs w:val="32"/>
              <w:highlight w:val="none"/>
              <w:lang w:val="en-US" w:eastAsia="zh-CN"/>
            </w:rPr>
            <w:t>（二）优化项目立项申报，加强项目管理</w:t>
          </w:r>
          <w:r>
            <w:rPr>
              <w:rFonts w:hint="eastAsia" w:ascii="楷体" w:hAnsi="楷体" w:eastAsia="楷体" w:cs="楷体"/>
              <w:b w:val="0"/>
              <w:bCs w:val="0"/>
              <w:smallCaps/>
              <w:color w:val="auto"/>
              <w:sz w:val="32"/>
              <w:szCs w:val="32"/>
              <w:highlight w:val="none"/>
            </w:rPr>
            <w:tab/>
          </w:r>
          <w:r>
            <w:rPr>
              <w:rFonts w:hint="eastAsia" w:ascii="楷体" w:hAnsi="楷体" w:eastAsia="楷体" w:cs="楷体"/>
              <w:b w:val="0"/>
              <w:bCs w:val="0"/>
              <w:smallCaps/>
              <w:color w:val="auto"/>
              <w:sz w:val="32"/>
              <w:szCs w:val="32"/>
              <w:highlight w:val="none"/>
            </w:rPr>
            <w:fldChar w:fldCharType="begin"/>
          </w:r>
          <w:r>
            <w:rPr>
              <w:rFonts w:hint="eastAsia" w:ascii="楷体" w:hAnsi="楷体" w:eastAsia="楷体" w:cs="楷体"/>
              <w:b w:val="0"/>
              <w:bCs w:val="0"/>
              <w:smallCaps/>
              <w:color w:val="auto"/>
              <w:sz w:val="32"/>
              <w:szCs w:val="32"/>
              <w:highlight w:val="none"/>
            </w:rPr>
            <w:instrText xml:space="preserve"> PAGEREF _Toc23059 \h </w:instrText>
          </w:r>
          <w:r>
            <w:rPr>
              <w:rFonts w:hint="eastAsia" w:ascii="楷体" w:hAnsi="楷体" w:eastAsia="楷体" w:cs="楷体"/>
              <w:b w:val="0"/>
              <w:bCs w:val="0"/>
              <w:smallCaps/>
              <w:color w:val="auto"/>
              <w:sz w:val="32"/>
              <w:szCs w:val="32"/>
              <w:highlight w:val="none"/>
            </w:rPr>
            <w:fldChar w:fldCharType="separate"/>
          </w:r>
          <w:r>
            <w:rPr>
              <w:rFonts w:hint="eastAsia" w:ascii="楷体" w:hAnsi="楷体" w:eastAsia="楷体" w:cs="楷体"/>
              <w:b w:val="0"/>
              <w:bCs w:val="0"/>
              <w:smallCaps/>
              <w:color w:val="auto"/>
              <w:sz w:val="32"/>
              <w:szCs w:val="32"/>
              <w:highlight w:val="none"/>
            </w:rPr>
            <w:t>25</w:t>
          </w:r>
          <w:r>
            <w:rPr>
              <w:rFonts w:hint="eastAsia" w:ascii="楷体" w:hAnsi="楷体" w:eastAsia="楷体" w:cs="楷体"/>
              <w:b w:val="0"/>
              <w:bCs w:val="0"/>
              <w:smallCaps/>
              <w:color w:val="auto"/>
              <w:sz w:val="32"/>
              <w:szCs w:val="32"/>
              <w:highlight w:val="none"/>
            </w:rPr>
            <w:fldChar w:fldCharType="end"/>
          </w:r>
          <w:r>
            <w:rPr>
              <w:rFonts w:hint="eastAsia" w:ascii="楷体" w:hAnsi="楷体" w:eastAsia="楷体" w:cs="楷体"/>
              <w:b w:val="0"/>
              <w:bCs w:val="0"/>
              <w:smallCaps/>
              <w:color w:val="auto"/>
              <w:sz w:val="32"/>
              <w:szCs w:val="32"/>
              <w:highlight w:val="none"/>
            </w:rPr>
            <w:fldChar w:fldCharType="end"/>
          </w:r>
        </w:p>
        <w:p w14:paraId="607E8299">
          <w:pPr>
            <w:pStyle w:val="18"/>
            <w:keepNext w:val="0"/>
            <w:keepLines w:val="0"/>
            <w:pageBreakBefore w:val="0"/>
            <w:widowControl w:val="0"/>
            <w:tabs>
              <w:tab w:val="right" w:leader="dot" w:pos="8732"/>
            </w:tabs>
            <w:kinsoku/>
            <w:wordWrap/>
            <w:overflowPunct/>
            <w:topLinePunct w:val="0"/>
            <w:autoSpaceDE/>
            <w:autoSpaceDN/>
            <w:bidi w:val="0"/>
            <w:adjustRightInd/>
            <w:snapToGrid/>
            <w:spacing w:line="312" w:lineRule="auto"/>
            <w:ind w:left="317" w:leftChars="0" w:firstLine="0" w:firstLineChars="0"/>
            <w:jc w:val="left"/>
            <w:textAlignment w:val="auto"/>
            <w:rPr>
              <w:rFonts w:hint="eastAsia" w:ascii="楷体" w:hAnsi="楷体" w:eastAsia="楷体" w:cs="楷体"/>
              <w:b w:val="0"/>
              <w:bCs w:val="0"/>
              <w:smallCaps/>
              <w:color w:val="auto"/>
              <w:sz w:val="32"/>
              <w:szCs w:val="32"/>
              <w:highlight w:val="none"/>
            </w:rPr>
          </w:pPr>
          <w:r>
            <w:rPr>
              <w:rFonts w:hint="eastAsia" w:ascii="楷体" w:hAnsi="楷体" w:eastAsia="楷体" w:cs="楷体"/>
              <w:b w:val="0"/>
              <w:bCs w:val="0"/>
              <w:smallCaps/>
              <w:color w:val="auto"/>
              <w:sz w:val="32"/>
              <w:szCs w:val="32"/>
              <w:highlight w:val="none"/>
            </w:rPr>
            <w:fldChar w:fldCharType="begin"/>
          </w:r>
          <w:r>
            <w:rPr>
              <w:rFonts w:hint="eastAsia" w:ascii="楷体" w:hAnsi="楷体" w:eastAsia="楷体" w:cs="楷体"/>
              <w:b w:val="0"/>
              <w:bCs w:val="0"/>
              <w:smallCaps/>
              <w:color w:val="auto"/>
              <w:sz w:val="32"/>
              <w:szCs w:val="32"/>
              <w:highlight w:val="none"/>
            </w:rPr>
            <w:instrText xml:space="preserve"> HYPERLINK \l _Toc32327 </w:instrText>
          </w:r>
          <w:r>
            <w:rPr>
              <w:rFonts w:hint="eastAsia" w:ascii="楷体" w:hAnsi="楷体" w:eastAsia="楷体" w:cs="楷体"/>
              <w:b w:val="0"/>
              <w:bCs w:val="0"/>
              <w:smallCaps/>
              <w:color w:val="auto"/>
              <w:sz w:val="32"/>
              <w:szCs w:val="32"/>
              <w:highlight w:val="none"/>
            </w:rPr>
            <w:fldChar w:fldCharType="separate"/>
          </w:r>
          <w:r>
            <w:rPr>
              <w:rFonts w:hint="eastAsia" w:ascii="楷体" w:hAnsi="楷体" w:eastAsia="楷体" w:cs="楷体"/>
              <w:b w:val="0"/>
              <w:bCs w:val="0"/>
              <w:smallCaps/>
              <w:color w:val="auto"/>
              <w:sz w:val="32"/>
              <w:szCs w:val="32"/>
              <w:highlight w:val="none"/>
              <w:lang w:val="en-US" w:eastAsia="zh-CN"/>
            </w:rPr>
            <w:t>（三） 进一步明确绩效目标，全面推进绩效管理</w:t>
          </w:r>
          <w:r>
            <w:rPr>
              <w:rFonts w:hint="eastAsia" w:ascii="楷体" w:hAnsi="楷体" w:eastAsia="楷体" w:cs="楷体"/>
              <w:b w:val="0"/>
              <w:bCs w:val="0"/>
              <w:smallCaps/>
              <w:color w:val="auto"/>
              <w:sz w:val="32"/>
              <w:szCs w:val="32"/>
              <w:highlight w:val="none"/>
            </w:rPr>
            <w:tab/>
          </w:r>
          <w:r>
            <w:rPr>
              <w:rFonts w:hint="eastAsia" w:ascii="楷体" w:hAnsi="楷体" w:eastAsia="楷体" w:cs="楷体"/>
              <w:b w:val="0"/>
              <w:bCs w:val="0"/>
              <w:smallCaps/>
              <w:color w:val="auto"/>
              <w:sz w:val="32"/>
              <w:szCs w:val="32"/>
              <w:highlight w:val="none"/>
            </w:rPr>
            <w:fldChar w:fldCharType="begin"/>
          </w:r>
          <w:r>
            <w:rPr>
              <w:rFonts w:hint="eastAsia" w:ascii="楷体" w:hAnsi="楷体" w:eastAsia="楷体" w:cs="楷体"/>
              <w:b w:val="0"/>
              <w:bCs w:val="0"/>
              <w:smallCaps/>
              <w:color w:val="auto"/>
              <w:sz w:val="32"/>
              <w:szCs w:val="32"/>
              <w:highlight w:val="none"/>
            </w:rPr>
            <w:instrText xml:space="preserve"> PAGEREF _Toc32327 \h </w:instrText>
          </w:r>
          <w:r>
            <w:rPr>
              <w:rFonts w:hint="eastAsia" w:ascii="楷体" w:hAnsi="楷体" w:eastAsia="楷体" w:cs="楷体"/>
              <w:b w:val="0"/>
              <w:bCs w:val="0"/>
              <w:smallCaps/>
              <w:color w:val="auto"/>
              <w:sz w:val="32"/>
              <w:szCs w:val="32"/>
              <w:highlight w:val="none"/>
            </w:rPr>
            <w:fldChar w:fldCharType="separate"/>
          </w:r>
          <w:r>
            <w:rPr>
              <w:rFonts w:hint="eastAsia" w:ascii="楷体" w:hAnsi="楷体" w:eastAsia="楷体" w:cs="楷体"/>
              <w:b w:val="0"/>
              <w:bCs w:val="0"/>
              <w:smallCaps/>
              <w:color w:val="auto"/>
              <w:sz w:val="32"/>
              <w:szCs w:val="32"/>
              <w:highlight w:val="none"/>
            </w:rPr>
            <w:t>26</w:t>
          </w:r>
          <w:r>
            <w:rPr>
              <w:rFonts w:hint="eastAsia" w:ascii="楷体" w:hAnsi="楷体" w:eastAsia="楷体" w:cs="楷体"/>
              <w:b w:val="0"/>
              <w:bCs w:val="0"/>
              <w:smallCaps/>
              <w:color w:val="auto"/>
              <w:sz w:val="32"/>
              <w:szCs w:val="32"/>
              <w:highlight w:val="none"/>
            </w:rPr>
            <w:fldChar w:fldCharType="end"/>
          </w:r>
          <w:r>
            <w:rPr>
              <w:rFonts w:hint="eastAsia" w:ascii="楷体" w:hAnsi="楷体" w:eastAsia="楷体" w:cs="楷体"/>
              <w:b w:val="0"/>
              <w:bCs w:val="0"/>
              <w:smallCaps/>
              <w:color w:val="auto"/>
              <w:sz w:val="32"/>
              <w:szCs w:val="32"/>
              <w:highlight w:val="none"/>
            </w:rPr>
            <w:fldChar w:fldCharType="end"/>
          </w:r>
        </w:p>
        <w:p w14:paraId="74F31F53">
          <w:pPr>
            <w:pStyle w:val="16"/>
            <w:keepNext w:val="0"/>
            <w:keepLines w:val="0"/>
            <w:pageBreakBefore w:val="0"/>
            <w:widowControl w:val="0"/>
            <w:tabs>
              <w:tab w:val="right" w:leader="dot" w:pos="8732"/>
            </w:tabs>
            <w:kinsoku/>
            <w:wordWrap/>
            <w:overflowPunct/>
            <w:topLinePunct w:val="0"/>
            <w:autoSpaceDE/>
            <w:autoSpaceDN/>
            <w:bidi w:val="0"/>
            <w:adjustRightInd/>
            <w:snapToGrid/>
            <w:spacing w:before="120" w:after="120" w:line="312" w:lineRule="auto"/>
            <w:ind w:firstLine="0" w:firstLineChars="0"/>
            <w:jc w:val="left"/>
            <w:textAlignment w:val="auto"/>
            <w:rPr>
              <w:rFonts w:hint="eastAsia" w:ascii="Times New Roman" w:hAnsi="Times New Roman" w:eastAsia="黑体" w:cs="Times New Roman"/>
              <w:b/>
              <w:bCs/>
              <w:caps/>
              <w:color w:val="auto"/>
              <w:sz w:val="32"/>
              <w:szCs w:val="32"/>
              <w:highlight w:val="none"/>
            </w:rPr>
          </w:pPr>
          <w:r>
            <w:rPr>
              <w:rFonts w:hint="eastAsia" w:ascii="Times New Roman" w:hAnsi="Times New Roman" w:eastAsia="黑体" w:cs="Times New Roman"/>
              <w:b/>
              <w:bCs/>
              <w:caps/>
              <w:color w:val="auto"/>
              <w:sz w:val="32"/>
              <w:szCs w:val="32"/>
              <w:highlight w:val="none"/>
            </w:rPr>
            <w:fldChar w:fldCharType="begin"/>
          </w:r>
          <w:r>
            <w:rPr>
              <w:rFonts w:hint="eastAsia" w:ascii="Times New Roman" w:hAnsi="Times New Roman" w:eastAsia="黑体" w:cs="Times New Roman"/>
              <w:b/>
              <w:bCs/>
              <w:caps/>
              <w:color w:val="auto"/>
              <w:sz w:val="32"/>
              <w:szCs w:val="32"/>
              <w:highlight w:val="none"/>
            </w:rPr>
            <w:instrText xml:space="preserve"> HYPERLINK \l _Toc24321 </w:instrText>
          </w:r>
          <w:r>
            <w:rPr>
              <w:rFonts w:hint="eastAsia" w:ascii="Times New Roman" w:hAnsi="Times New Roman" w:eastAsia="黑体" w:cs="Times New Roman"/>
              <w:b/>
              <w:bCs/>
              <w:caps/>
              <w:color w:val="auto"/>
              <w:sz w:val="32"/>
              <w:szCs w:val="32"/>
              <w:highlight w:val="none"/>
            </w:rPr>
            <w:fldChar w:fldCharType="separate"/>
          </w:r>
          <w:r>
            <w:rPr>
              <w:rFonts w:hint="eastAsia" w:ascii="Times New Roman" w:hAnsi="Times New Roman" w:eastAsia="黑体" w:cs="Times New Roman"/>
              <w:b/>
              <w:bCs/>
              <w:caps/>
              <w:color w:val="auto"/>
              <w:sz w:val="32"/>
              <w:szCs w:val="32"/>
              <w:highlight w:val="none"/>
            </w:rPr>
            <w:t>附件1：</w:t>
          </w:r>
          <w:r>
            <w:rPr>
              <w:rFonts w:hint="eastAsia" w:ascii="楷体" w:hAnsi="楷体" w:eastAsia="楷体" w:cs="楷体"/>
              <w:b w:val="0"/>
              <w:bCs w:val="0"/>
              <w:smallCaps/>
              <w:color w:val="auto"/>
              <w:kern w:val="2"/>
              <w:sz w:val="32"/>
              <w:szCs w:val="32"/>
              <w:highlight w:val="none"/>
              <w:lang w:val="en-US" w:eastAsia="zh-CN" w:bidi="ar-SA"/>
            </w:rPr>
            <w:tab/>
          </w:r>
          <w:r>
            <w:rPr>
              <w:rFonts w:hint="eastAsia" w:ascii="Times New Roman" w:hAnsi="Times New Roman" w:eastAsia="黑体" w:cs="Times New Roman"/>
              <w:b/>
              <w:bCs/>
              <w:caps/>
              <w:color w:val="auto"/>
              <w:sz w:val="32"/>
              <w:szCs w:val="32"/>
              <w:highlight w:val="none"/>
            </w:rPr>
            <w:fldChar w:fldCharType="begin"/>
          </w:r>
          <w:r>
            <w:rPr>
              <w:rFonts w:hint="eastAsia" w:ascii="Times New Roman" w:hAnsi="Times New Roman" w:eastAsia="黑体" w:cs="Times New Roman"/>
              <w:b/>
              <w:bCs/>
              <w:caps/>
              <w:color w:val="auto"/>
              <w:sz w:val="32"/>
              <w:szCs w:val="32"/>
              <w:highlight w:val="none"/>
            </w:rPr>
            <w:instrText xml:space="preserve"> PAGEREF _Toc24321 \h </w:instrText>
          </w:r>
          <w:r>
            <w:rPr>
              <w:rFonts w:hint="eastAsia" w:ascii="Times New Roman" w:hAnsi="Times New Roman" w:eastAsia="黑体" w:cs="Times New Roman"/>
              <w:b/>
              <w:bCs/>
              <w:caps/>
              <w:color w:val="auto"/>
              <w:sz w:val="32"/>
              <w:szCs w:val="32"/>
              <w:highlight w:val="none"/>
            </w:rPr>
            <w:fldChar w:fldCharType="separate"/>
          </w:r>
          <w:r>
            <w:rPr>
              <w:rFonts w:hint="eastAsia" w:ascii="Times New Roman" w:hAnsi="Times New Roman" w:eastAsia="黑体" w:cs="Times New Roman"/>
              <w:b/>
              <w:bCs/>
              <w:caps/>
              <w:color w:val="auto"/>
              <w:sz w:val="32"/>
              <w:szCs w:val="32"/>
              <w:highlight w:val="none"/>
            </w:rPr>
            <w:t>28</w:t>
          </w:r>
          <w:r>
            <w:rPr>
              <w:rFonts w:hint="eastAsia" w:ascii="Times New Roman" w:hAnsi="Times New Roman" w:eastAsia="黑体" w:cs="Times New Roman"/>
              <w:b/>
              <w:bCs/>
              <w:caps/>
              <w:color w:val="auto"/>
              <w:sz w:val="32"/>
              <w:szCs w:val="32"/>
              <w:highlight w:val="none"/>
            </w:rPr>
            <w:fldChar w:fldCharType="end"/>
          </w:r>
          <w:r>
            <w:rPr>
              <w:rFonts w:hint="eastAsia" w:ascii="Times New Roman" w:hAnsi="Times New Roman" w:eastAsia="黑体" w:cs="Times New Roman"/>
              <w:b/>
              <w:bCs/>
              <w:caps/>
              <w:color w:val="auto"/>
              <w:sz w:val="32"/>
              <w:szCs w:val="32"/>
              <w:highlight w:val="none"/>
            </w:rPr>
            <w:fldChar w:fldCharType="end"/>
          </w:r>
        </w:p>
        <w:p w14:paraId="0E75E1FE">
          <w:pPr>
            <w:pStyle w:val="16"/>
            <w:keepNext w:val="0"/>
            <w:keepLines w:val="0"/>
            <w:pageBreakBefore w:val="0"/>
            <w:widowControl w:val="0"/>
            <w:tabs>
              <w:tab w:val="right" w:leader="dot" w:pos="8732"/>
            </w:tabs>
            <w:kinsoku/>
            <w:wordWrap/>
            <w:overflowPunct/>
            <w:topLinePunct w:val="0"/>
            <w:autoSpaceDE/>
            <w:autoSpaceDN/>
            <w:bidi w:val="0"/>
            <w:adjustRightInd/>
            <w:snapToGrid/>
            <w:spacing w:before="120" w:after="120" w:line="312" w:lineRule="auto"/>
            <w:ind w:firstLine="0" w:firstLineChars="0"/>
            <w:jc w:val="left"/>
            <w:textAlignment w:val="auto"/>
            <w:rPr>
              <w:rFonts w:hint="eastAsia" w:ascii="Times New Roman" w:hAnsi="Times New Roman" w:eastAsia="黑体" w:cs="Times New Roman"/>
              <w:b/>
              <w:bCs/>
              <w:caps/>
              <w:color w:val="auto"/>
              <w:sz w:val="32"/>
              <w:szCs w:val="32"/>
              <w:highlight w:val="none"/>
            </w:rPr>
          </w:pPr>
          <w:r>
            <w:rPr>
              <w:rFonts w:hint="eastAsia" w:ascii="Times New Roman" w:hAnsi="Times New Roman" w:eastAsia="黑体" w:cs="Times New Roman"/>
              <w:b/>
              <w:bCs/>
              <w:caps/>
              <w:color w:val="auto"/>
              <w:sz w:val="32"/>
              <w:szCs w:val="32"/>
              <w:highlight w:val="none"/>
            </w:rPr>
            <w:fldChar w:fldCharType="begin"/>
          </w:r>
          <w:r>
            <w:rPr>
              <w:rFonts w:hint="eastAsia" w:ascii="Times New Roman" w:hAnsi="Times New Roman" w:eastAsia="黑体" w:cs="Times New Roman"/>
              <w:b/>
              <w:bCs/>
              <w:caps/>
              <w:color w:val="auto"/>
              <w:sz w:val="32"/>
              <w:szCs w:val="32"/>
              <w:highlight w:val="none"/>
            </w:rPr>
            <w:instrText xml:space="preserve"> HYPERLINK \l _Toc31014 </w:instrText>
          </w:r>
          <w:r>
            <w:rPr>
              <w:rFonts w:hint="eastAsia" w:ascii="Times New Roman" w:hAnsi="Times New Roman" w:eastAsia="黑体" w:cs="Times New Roman"/>
              <w:b/>
              <w:bCs/>
              <w:caps/>
              <w:color w:val="auto"/>
              <w:sz w:val="32"/>
              <w:szCs w:val="32"/>
              <w:highlight w:val="none"/>
            </w:rPr>
            <w:fldChar w:fldCharType="separate"/>
          </w:r>
          <w:r>
            <w:rPr>
              <w:rFonts w:hint="eastAsia" w:ascii="Times New Roman" w:hAnsi="Times New Roman" w:eastAsia="黑体" w:cs="Times New Roman"/>
              <w:b/>
              <w:bCs/>
              <w:caps/>
              <w:color w:val="auto"/>
              <w:sz w:val="32"/>
              <w:szCs w:val="32"/>
              <w:highlight w:val="none"/>
            </w:rPr>
            <w:t>附件2：</w:t>
          </w:r>
          <w:r>
            <w:rPr>
              <w:rFonts w:hint="eastAsia" w:ascii="楷体" w:hAnsi="楷体" w:eastAsia="楷体" w:cs="楷体"/>
              <w:b w:val="0"/>
              <w:bCs w:val="0"/>
              <w:smallCaps/>
              <w:color w:val="auto"/>
              <w:kern w:val="2"/>
              <w:sz w:val="32"/>
              <w:szCs w:val="32"/>
              <w:highlight w:val="none"/>
              <w:lang w:val="en-US" w:eastAsia="zh-CN" w:bidi="ar-SA"/>
            </w:rPr>
            <w:tab/>
          </w:r>
          <w:r>
            <w:rPr>
              <w:rFonts w:hint="eastAsia" w:ascii="Times New Roman" w:hAnsi="Times New Roman" w:eastAsia="黑体" w:cs="Times New Roman"/>
              <w:b/>
              <w:bCs/>
              <w:caps/>
              <w:color w:val="auto"/>
              <w:sz w:val="32"/>
              <w:szCs w:val="32"/>
              <w:highlight w:val="none"/>
            </w:rPr>
            <w:fldChar w:fldCharType="begin"/>
          </w:r>
          <w:r>
            <w:rPr>
              <w:rFonts w:hint="eastAsia" w:ascii="Times New Roman" w:hAnsi="Times New Roman" w:eastAsia="黑体" w:cs="Times New Roman"/>
              <w:b/>
              <w:bCs/>
              <w:caps/>
              <w:color w:val="auto"/>
              <w:sz w:val="32"/>
              <w:szCs w:val="32"/>
              <w:highlight w:val="none"/>
            </w:rPr>
            <w:instrText xml:space="preserve"> PAGEREF _Toc31014 \h </w:instrText>
          </w:r>
          <w:r>
            <w:rPr>
              <w:rFonts w:hint="eastAsia" w:ascii="Times New Roman" w:hAnsi="Times New Roman" w:eastAsia="黑体" w:cs="Times New Roman"/>
              <w:b/>
              <w:bCs/>
              <w:caps/>
              <w:color w:val="auto"/>
              <w:sz w:val="32"/>
              <w:szCs w:val="32"/>
              <w:highlight w:val="none"/>
            </w:rPr>
            <w:fldChar w:fldCharType="separate"/>
          </w:r>
          <w:r>
            <w:rPr>
              <w:rFonts w:hint="eastAsia" w:ascii="Times New Roman" w:hAnsi="Times New Roman" w:eastAsia="黑体" w:cs="Times New Roman"/>
              <w:b/>
              <w:bCs/>
              <w:caps/>
              <w:color w:val="auto"/>
              <w:sz w:val="32"/>
              <w:szCs w:val="32"/>
              <w:highlight w:val="none"/>
            </w:rPr>
            <w:t>35</w:t>
          </w:r>
          <w:r>
            <w:rPr>
              <w:rFonts w:hint="eastAsia" w:ascii="Times New Roman" w:hAnsi="Times New Roman" w:eastAsia="黑体" w:cs="Times New Roman"/>
              <w:b/>
              <w:bCs/>
              <w:caps/>
              <w:color w:val="auto"/>
              <w:sz w:val="32"/>
              <w:szCs w:val="32"/>
              <w:highlight w:val="none"/>
            </w:rPr>
            <w:fldChar w:fldCharType="end"/>
          </w:r>
          <w:r>
            <w:rPr>
              <w:rFonts w:hint="eastAsia" w:ascii="Times New Roman" w:hAnsi="Times New Roman" w:eastAsia="黑体" w:cs="Times New Roman"/>
              <w:b/>
              <w:bCs/>
              <w:caps/>
              <w:color w:val="auto"/>
              <w:sz w:val="32"/>
              <w:szCs w:val="32"/>
              <w:highlight w:val="none"/>
            </w:rPr>
            <w:fldChar w:fldCharType="end"/>
          </w:r>
        </w:p>
        <w:p w14:paraId="5437195C">
          <w:pPr>
            <w:pStyle w:val="16"/>
            <w:keepNext w:val="0"/>
            <w:keepLines w:val="0"/>
            <w:pageBreakBefore w:val="0"/>
            <w:widowControl w:val="0"/>
            <w:tabs>
              <w:tab w:val="right" w:leader="dot" w:pos="8732"/>
            </w:tabs>
            <w:kinsoku/>
            <w:wordWrap/>
            <w:overflowPunct/>
            <w:topLinePunct w:val="0"/>
            <w:autoSpaceDE/>
            <w:autoSpaceDN/>
            <w:bidi w:val="0"/>
            <w:adjustRightInd/>
            <w:snapToGrid/>
            <w:spacing w:before="120" w:after="120" w:line="312" w:lineRule="auto"/>
            <w:ind w:firstLine="0" w:firstLineChars="0"/>
            <w:jc w:val="left"/>
            <w:textAlignment w:val="auto"/>
            <w:rPr>
              <w:rFonts w:hint="eastAsia" w:ascii="Times New Roman" w:hAnsi="Times New Roman" w:eastAsia="黑体" w:cs="Times New Roman"/>
              <w:b/>
              <w:bCs/>
              <w:caps/>
              <w:color w:val="auto"/>
              <w:sz w:val="32"/>
              <w:szCs w:val="32"/>
              <w:highlight w:val="none"/>
            </w:rPr>
          </w:pPr>
          <w:r>
            <w:rPr>
              <w:rFonts w:hint="eastAsia" w:ascii="Times New Roman" w:hAnsi="Times New Roman" w:eastAsia="黑体" w:cs="Times New Roman"/>
              <w:b/>
              <w:bCs/>
              <w:caps/>
              <w:color w:val="auto"/>
              <w:sz w:val="32"/>
              <w:szCs w:val="32"/>
              <w:highlight w:val="none"/>
            </w:rPr>
            <w:fldChar w:fldCharType="begin"/>
          </w:r>
          <w:r>
            <w:rPr>
              <w:rFonts w:hint="eastAsia" w:ascii="Times New Roman" w:hAnsi="Times New Roman" w:eastAsia="黑体" w:cs="Times New Roman"/>
              <w:b/>
              <w:bCs/>
              <w:caps/>
              <w:color w:val="auto"/>
              <w:sz w:val="32"/>
              <w:szCs w:val="32"/>
              <w:highlight w:val="none"/>
            </w:rPr>
            <w:instrText xml:space="preserve"> HYPERLINK \l _Toc11574 </w:instrText>
          </w:r>
          <w:r>
            <w:rPr>
              <w:rFonts w:hint="eastAsia" w:ascii="Times New Roman" w:hAnsi="Times New Roman" w:eastAsia="黑体" w:cs="Times New Roman"/>
              <w:b/>
              <w:bCs/>
              <w:caps/>
              <w:color w:val="auto"/>
              <w:sz w:val="32"/>
              <w:szCs w:val="32"/>
              <w:highlight w:val="none"/>
            </w:rPr>
            <w:fldChar w:fldCharType="separate"/>
          </w:r>
          <w:r>
            <w:rPr>
              <w:rFonts w:hint="eastAsia" w:ascii="Times New Roman" w:hAnsi="Times New Roman" w:eastAsia="黑体" w:cs="Times New Roman"/>
              <w:b/>
              <w:bCs/>
              <w:caps/>
              <w:color w:val="auto"/>
              <w:sz w:val="32"/>
              <w:szCs w:val="32"/>
              <w:highlight w:val="none"/>
            </w:rPr>
            <w:t>附件3：</w:t>
          </w:r>
          <w:r>
            <w:rPr>
              <w:rFonts w:hint="eastAsia" w:ascii="楷体" w:hAnsi="楷体" w:eastAsia="楷体" w:cs="楷体"/>
              <w:b w:val="0"/>
              <w:bCs w:val="0"/>
              <w:smallCaps/>
              <w:color w:val="auto"/>
              <w:kern w:val="2"/>
              <w:sz w:val="32"/>
              <w:szCs w:val="32"/>
              <w:highlight w:val="none"/>
              <w:lang w:val="en-US" w:eastAsia="zh-CN" w:bidi="ar-SA"/>
            </w:rPr>
            <w:tab/>
          </w:r>
          <w:r>
            <w:rPr>
              <w:rFonts w:hint="eastAsia" w:ascii="Times New Roman" w:hAnsi="Times New Roman" w:eastAsia="黑体" w:cs="Times New Roman"/>
              <w:b/>
              <w:bCs/>
              <w:caps/>
              <w:color w:val="auto"/>
              <w:sz w:val="32"/>
              <w:szCs w:val="32"/>
              <w:highlight w:val="none"/>
            </w:rPr>
            <w:fldChar w:fldCharType="begin"/>
          </w:r>
          <w:r>
            <w:rPr>
              <w:rFonts w:hint="eastAsia" w:ascii="Times New Roman" w:hAnsi="Times New Roman" w:eastAsia="黑体" w:cs="Times New Roman"/>
              <w:b/>
              <w:bCs/>
              <w:caps/>
              <w:color w:val="auto"/>
              <w:sz w:val="32"/>
              <w:szCs w:val="32"/>
              <w:highlight w:val="none"/>
            </w:rPr>
            <w:instrText xml:space="preserve"> PAGEREF _Toc11574 \h </w:instrText>
          </w:r>
          <w:r>
            <w:rPr>
              <w:rFonts w:hint="eastAsia" w:ascii="Times New Roman" w:hAnsi="Times New Roman" w:eastAsia="黑体" w:cs="Times New Roman"/>
              <w:b/>
              <w:bCs/>
              <w:caps/>
              <w:color w:val="auto"/>
              <w:sz w:val="32"/>
              <w:szCs w:val="32"/>
              <w:highlight w:val="none"/>
            </w:rPr>
            <w:fldChar w:fldCharType="separate"/>
          </w:r>
          <w:r>
            <w:rPr>
              <w:rFonts w:hint="eastAsia" w:ascii="Times New Roman" w:hAnsi="Times New Roman" w:eastAsia="黑体" w:cs="Times New Roman"/>
              <w:b/>
              <w:bCs/>
              <w:caps/>
              <w:color w:val="auto"/>
              <w:sz w:val="32"/>
              <w:szCs w:val="32"/>
              <w:highlight w:val="none"/>
            </w:rPr>
            <w:t>39</w:t>
          </w:r>
          <w:r>
            <w:rPr>
              <w:rFonts w:hint="eastAsia" w:ascii="Times New Roman" w:hAnsi="Times New Roman" w:eastAsia="黑体" w:cs="Times New Roman"/>
              <w:b/>
              <w:bCs/>
              <w:caps/>
              <w:color w:val="auto"/>
              <w:sz w:val="32"/>
              <w:szCs w:val="32"/>
              <w:highlight w:val="none"/>
            </w:rPr>
            <w:fldChar w:fldCharType="end"/>
          </w:r>
          <w:r>
            <w:rPr>
              <w:rFonts w:hint="eastAsia" w:ascii="Times New Roman" w:hAnsi="Times New Roman" w:eastAsia="黑体" w:cs="Times New Roman"/>
              <w:b/>
              <w:bCs/>
              <w:caps/>
              <w:color w:val="auto"/>
              <w:sz w:val="32"/>
              <w:szCs w:val="32"/>
              <w:highlight w:val="none"/>
            </w:rPr>
            <w:fldChar w:fldCharType="end"/>
          </w:r>
        </w:p>
        <w:p w14:paraId="025CEB25">
          <w:pPr>
            <w:pStyle w:val="16"/>
            <w:keepNext w:val="0"/>
            <w:keepLines w:val="0"/>
            <w:pageBreakBefore w:val="0"/>
            <w:widowControl w:val="0"/>
            <w:tabs>
              <w:tab w:val="right" w:leader="dot" w:pos="8732"/>
            </w:tabs>
            <w:kinsoku/>
            <w:wordWrap/>
            <w:overflowPunct/>
            <w:topLinePunct w:val="0"/>
            <w:autoSpaceDE/>
            <w:autoSpaceDN/>
            <w:bidi w:val="0"/>
            <w:adjustRightInd/>
            <w:snapToGrid/>
            <w:spacing w:before="120" w:after="120" w:line="312" w:lineRule="auto"/>
            <w:ind w:firstLine="0" w:firstLineChars="0"/>
            <w:jc w:val="left"/>
            <w:textAlignment w:val="auto"/>
            <w:rPr>
              <w:rFonts w:hint="eastAsia" w:ascii="Times New Roman" w:hAnsi="Times New Roman" w:eastAsia="黑体" w:cs="Times New Roman"/>
              <w:b/>
              <w:bCs/>
              <w:caps/>
              <w:color w:val="auto"/>
              <w:sz w:val="32"/>
              <w:szCs w:val="32"/>
              <w:highlight w:val="none"/>
            </w:rPr>
          </w:pPr>
          <w:r>
            <w:rPr>
              <w:rFonts w:hint="eastAsia" w:ascii="Times New Roman" w:hAnsi="Times New Roman" w:eastAsia="黑体" w:cs="Times New Roman"/>
              <w:b/>
              <w:bCs/>
              <w:caps/>
              <w:color w:val="auto"/>
              <w:sz w:val="32"/>
              <w:szCs w:val="32"/>
              <w:highlight w:val="none"/>
            </w:rPr>
            <w:fldChar w:fldCharType="begin"/>
          </w:r>
          <w:r>
            <w:rPr>
              <w:rFonts w:hint="eastAsia" w:ascii="Times New Roman" w:hAnsi="Times New Roman" w:eastAsia="黑体" w:cs="Times New Roman"/>
              <w:b/>
              <w:bCs/>
              <w:caps/>
              <w:color w:val="auto"/>
              <w:sz w:val="32"/>
              <w:szCs w:val="32"/>
              <w:highlight w:val="none"/>
            </w:rPr>
            <w:instrText xml:space="preserve"> HYPERLINK \l _Toc24866 </w:instrText>
          </w:r>
          <w:r>
            <w:rPr>
              <w:rFonts w:hint="eastAsia" w:ascii="Times New Roman" w:hAnsi="Times New Roman" w:eastAsia="黑体" w:cs="Times New Roman"/>
              <w:b/>
              <w:bCs/>
              <w:caps/>
              <w:color w:val="auto"/>
              <w:sz w:val="32"/>
              <w:szCs w:val="32"/>
              <w:highlight w:val="none"/>
            </w:rPr>
            <w:fldChar w:fldCharType="separate"/>
          </w:r>
          <w:r>
            <w:rPr>
              <w:rFonts w:hint="eastAsia" w:ascii="Times New Roman" w:hAnsi="Times New Roman" w:eastAsia="黑体" w:cs="Times New Roman"/>
              <w:b/>
              <w:bCs/>
              <w:caps/>
              <w:color w:val="auto"/>
              <w:sz w:val="32"/>
              <w:szCs w:val="32"/>
              <w:highlight w:val="none"/>
            </w:rPr>
            <w:t>附件4：</w:t>
          </w:r>
          <w:r>
            <w:rPr>
              <w:rFonts w:hint="eastAsia" w:ascii="楷体" w:hAnsi="楷体" w:eastAsia="楷体" w:cs="楷体"/>
              <w:b w:val="0"/>
              <w:bCs w:val="0"/>
              <w:smallCaps/>
              <w:color w:val="auto"/>
              <w:kern w:val="2"/>
              <w:sz w:val="32"/>
              <w:szCs w:val="32"/>
              <w:highlight w:val="none"/>
              <w:lang w:val="en-US" w:eastAsia="zh-CN" w:bidi="ar-SA"/>
            </w:rPr>
            <w:tab/>
          </w:r>
          <w:r>
            <w:rPr>
              <w:rFonts w:hint="eastAsia" w:ascii="Times New Roman" w:hAnsi="Times New Roman" w:eastAsia="黑体" w:cs="Times New Roman"/>
              <w:b/>
              <w:bCs/>
              <w:caps/>
              <w:color w:val="auto"/>
              <w:sz w:val="32"/>
              <w:szCs w:val="32"/>
              <w:highlight w:val="none"/>
            </w:rPr>
            <w:fldChar w:fldCharType="begin"/>
          </w:r>
          <w:r>
            <w:rPr>
              <w:rFonts w:hint="eastAsia" w:ascii="Times New Roman" w:hAnsi="Times New Roman" w:eastAsia="黑体" w:cs="Times New Roman"/>
              <w:b/>
              <w:bCs/>
              <w:caps/>
              <w:color w:val="auto"/>
              <w:sz w:val="32"/>
              <w:szCs w:val="32"/>
              <w:highlight w:val="none"/>
            </w:rPr>
            <w:instrText xml:space="preserve"> PAGEREF _Toc24866 \h </w:instrText>
          </w:r>
          <w:r>
            <w:rPr>
              <w:rFonts w:hint="eastAsia" w:ascii="Times New Roman" w:hAnsi="Times New Roman" w:eastAsia="黑体" w:cs="Times New Roman"/>
              <w:b/>
              <w:bCs/>
              <w:caps/>
              <w:color w:val="auto"/>
              <w:sz w:val="32"/>
              <w:szCs w:val="32"/>
              <w:highlight w:val="none"/>
            </w:rPr>
            <w:fldChar w:fldCharType="separate"/>
          </w:r>
          <w:r>
            <w:rPr>
              <w:rFonts w:hint="eastAsia" w:ascii="Times New Roman" w:hAnsi="Times New Roman" w:eastAsia="黑体" w:cs="Times New Roman"/>
              <w:b/>
              <w:bCs/>
              <w:caps/>
              <w:color w:val="auto"/>
              <w:sz w:val="32"/>
              <w:szCs w:val="32"/>
              <w:highlight w:val="none"/>
            </w:rPr>
            <w:t>41</w:t>
          </w:r>
          <w:r>
            <w:rPr>
              <w:rFonts w:hint="eastAsia" w:ascii="Times New Roman" w:hAnsi="Times New Roman" w:eastAsia="黑体" w:cs="Times New Roman"/>
              <w:b/>
              <w:bCs/>
              <w:caps/>
              <w:color w:val="auto"/>
              <w:sz w:val="32"/>
              <w:szCs w:val="32"/>
              <w:highlight w:val="none"/>
            </w:rPr>
            <w:fldChar w:fldCharType="end"/>
          </w:r>
          <w:r>
            <w:rPr>
              <w:rFonts w:hint="eastAsia" w:ascii="Times New Roman" w:hAnsi="Times New Roman" w:eastAsia="黑体" w:cs="Times New Roman"/>
              <w:b/>
              <w:bCs/>
              <w:caps/>
              <w:color w:val="auto"/>
              <w:sz w:val="32"/>
              <w:szCs w:val="32"/>
              <w:highlight w:val="none"/>
            </w:rPr>
            <w:fldChar w:fldCharType="end"/>
          </w:r>
        </w:p>
        <w:p w14:paraId="42435290">
          <w:pPr>
            <w:snapToGrid w:val="0"/>
            <w:spacing w:line="240" w:lineRule="auto"/>
            <w:ind w:left="0" w:leftChars="0" w:firstLine="0" w:firstLineChars="0"/>
            <w:jc w:val="center"/>
            <w:rPr>
              <w:rFonts w:hint="eastAsia" w:ascii="华文中宋" w:hAnsi="华文中宋" w:eastAsia="华文中宋" w:cs="Times New Roman"/>
              <w:b/>
              <w:bCs/>
              <w:color w:val="auto"/>
              <w:kern w:val="2"/>
              <w:sz w:val="32"/>
              <w:szCs w:val="44"/>
              <w:highlight w:val="none"/>
              <w:lang w:val="en-US" w:eastAsia="zh-CN" w:bidi="ar-SA"/>
            </w:rPr>
          </w:pPr>
          <w:r>
            <w:rPr>
              <w:rFonts w:hint="eastAsia" w:ascii="华文中宋" w:hAnsi="华文中宋" w:eastAsia="华文中宋" w:cs="Times New Roman"/>
              <w:bCs w:val="0"/>
              <w:color w:val="auto"/>
              <w:szCs w:val="32"/>
              <w:highlight w:val="none"/>
            </w:rPr>
            <w:fldChar w:fldCharType="end"/>
          </w:r>
        </w:p>
      </w:sdtContent>
    </w:sdt>
    <w:p w14:paraId="7760AB1D">
      <w:pPr>
        <w:snapToGrid w:val="0"/>
        <w:spacing w:line="240" w:lineRule="auto"/>
        <w:ind w:left="0" w:leftChars="0" w:firstLine="0" w:firstLineChars="0"/>
        <w:jc w:val="center"/>
        <w:rPr>
          <w:rFonts w:hint="eastAsia" w:ascii="华文中宋" w:hAnsi="华文中宋" w:eastAsia="华文中宋" w:cs="Times New Roman"/>
          <w:b/>
          <w:bCs/>
          <w:color w:val="auto"/>
          <w:kern w:val="2"/>
          <w:sz w:val="32"/>
          <w:szCs w:val="44"/>
          <w:highlight w:val="none"/>
          <w:lang w:val="en-US" w:eastAsia="zh-CN" w:bidi="ar-SA"/>
        </w:rPr>
        <w:sectPr>
          <w:headerReference r:id="rId6" w:type="default"/>
          <w:footerReference r:id="rId7" w:type="default"/>
          <w:pgSz w:w="11906" w:h="16838"/>
          <w:pgMar w:top="2098" w:right="1587" w:bottom="1701" w:left="1587" w:header="0" w:footer="1247" w:gutter="0"/>
          <w:pgNumType w:fmt="decimal" w:start="1"/>
          <w:cols w:space="0" w:num="1"/>
          <w:rtlGutter w:val="0"/>
          <w:docGrid w:type="lines" w:linePitch="449" w:charSpace="0"/>
        </w:sectPr>
      </w:pPr>
    </w:p>
    <w:p w14:paraId="63EFDA66">
      <w:pPr>
        <w:bidi w:val="0"/>
        <w:rPr>
          <w:color w:val="auto"/>
          <w:highlight w:val="none"/>
        </w:rPr>
      </w:pPr>
      <w:bookmarkStart w:id="2" w:name="_Toc30708"/>
      <w:r>
        <w:rPr>
          <w:rFonts w:hint="eastAsia"/>
          <w:color w:val="auto"/>
          <w:highlight w:val="none"/>
        </w:rPr>
        <w:t>根据《梅江区财政局关于做好 2023 年区级财政重点绩效评价工作的通知》（梅区财绩字〔2023〕4号）等文件的有关精神及项目单位提供的相关资料，</w:t>
      </w:r>
      <w:r>
        <w:rPr>
          <w:rFonts w:hint="eastAsia"/>
          <w:color w:val="auto"/>
          <w:highlight w:val="none"/>
          <w:lang w:val="en-US" w:eastAsia="zh-CN"/>
        </w:rPr>
        <w:t>梅州市梅江区</w:t>
      </w:r>
      <w:r>
        <w:rPr>
          <w:color w:val="auto"/>
          <w:highlight w:val="none"/>
        </w:rPr>
        <w:t>财政局组织并委托</w:t>
      </w:r>
      <w:r>
        <w:rPr>
          <w:rFonts w:hint="eastAsia"/>
          <w:color w:val="auto"/>
          <w:highlight w:val="none"/>
        </w:rPr>
        <w:t>广东广财评估咨询有限公司</w:t>
      </w:r>
      <w:r>
        <w:rPr>
          <w:color w:val="auto"/>
          <w:highlight w:val="none"/>
        </w:rPr>
        <w:t>（以下简称</w:t>
      </w:r>
      <w:r>
        <w:rPr>
          <w:rFonts w:hint="eastAsia"/>
          <w:color w:val="auto"/>
          <w:highlight w:val="none"/>
          <w:lang w:eastAsia="zh-CN"/>
        </w:rPr>
        <w:t>“</w:t>
      </w:r>
      <w:r>
        <w:rPr>
          <w:rFonts w:hint="eastAsia"/>
          <w:color w:val="auto"/>
          <w:highlight w:val="none"/>
          <w:lang w:val="en-US" w:eastAsia="zh-CN"/>
        </w:rPr>
        <w:t>广财评估”</w:t>
      </w:r>
      <w:r>
        <w:rPr>
          <w:color w:val="auto"/>
          <w:highlight w:val="none"/>
        </w:rPr>
        <w:t>）对</w:t>
      </w:r>
      <w:r>
        <w:rPr>
          <w:rFonts w:hint="eastAsia"/>
          <w:color w:val="auto"/>
          <w:highlight w:val="none"/>
        </w:rPr>
        <w:t>梅州市梅江区西郊街道办事处</w:t>
      </w:r>
      <w:r>
        <w:rPr>
          <w:color w:val="auto"/>
          <w:highlight w:val="none"/>
        </w:rPr>
        <w:t>（以下简称</w:t>
      </w:r>
      <w:r>
        <w:rPr>
          <w:rFonts w:hint="eastAsia"/>
          <w:color w:val="auto"/>
          <w:highlight w:val="none"/>
          <w:lang w:eastAsia="zh-CN"/>
        </w:rPr>
        <w:t>“</w:t>
      </w:r>
      <w:r>
        <w:rPr>
          <w:rFonts w:hint="eastAsia"/>
          <w:color w:val="auto"/>
          <w:highlight w:val="none"/>
          <w:lang w:val="en-US" w:eastAsia="zh-CN"/>
        </w:rPr>
        <w:t>西郊街道”</w:t>
      </w:r>
      <w:r>
        <w:rPr>
          <w:color w:val="auto"/>
          <w:highlight w:val="none"/>
        </w:rPr>
        <w:t>）20</w:t>
      </w:r>
      <w:r>
        <w:rPr>
          <w:rFonts w:hint="eastAsia"/>
          <w:color w:val="auto"/>
          <w:highlight w:val="none"/>
          <w:lang w:val="en-US" w:eastAsia="zh-CN"/>
        </w:rPr>
        <w:t>22</w:t>
      </w:r>
      <w:r>
        <w:rPr>
          <w:color w:val="auto"/>
          <w:highlight w:val="none"/>
        </w:rPr>
        <w:t>年度部门整体支出实施</w:t>
      </w:r>
      <w:r>
        <w:rPr>
          <w:rFonts w:hint="eastAsia"/>
          <w:color w:val="auto"/>
          <w:highlight w:val="none"/>
        </w:rPr>
        <w:t>部门整体绩效</w:t>
      </w:r>
      <w:r>
        <w:rPr>
          <w:color w:val="auto"/>
          <w:highlight w:val="none"/>
        </w:rPr>
        <w:t>评价，</w:t>
      </w:r>
      <w:r>
        <w:rPr>
          <w:rFonts w:hint="eastAsia"/>
          <w:color w:val="auto"/>
          <w:highlight w:val="none"/>
        </w:rPr>
        <w:t>我司本着客观、公正、公平的原则开展评价工作</w:t>
      </w:r>
      <w:r>
        <w:rPr>
          <w:color w:val="auto"/>
          <w:highlight w:val="none"/>
        </w:rPr>
        <w:t>，形成本绩效评价报告。</w:t>
      </w:r>
    </w:p>
    <w:p w14:paraId="326676E6">
      <w:pPr>
        <w:bidi w:val="0"/>
        <w:rPr>
          <w:color w:val="auto"/>
          <w:highlight w:val="none"/>
        </w:rPr>
      </w:pPr>
    </w:p>
    <w:p w14:paraId="46FFF235">
      <w:pPr>
        <w:pStyle w:val="2"/>
        <w:bidi w:val="0"/>
        <w:rPr>
          <w:rFonts w:hint="eastAsia"/>
          <w:color w:val="auto"/>
          <w:highlight w:val="none"/>
        </w:rPr>
      </w:pPr>
      <w:bookmarkStart w:id="3" w:name="_Toc16414"/>
      <w:bookmarkStart w:id="4" w:name="_Toc6157"/>
      <w:bookmarkStart w:id="5" w:name="_Toc27486"/>
      <w:bookmarkStart w:id="6" w:name="_Toc27104"/>
      <w:r>
        <w:rPr>
          <w:color w:val="auto"/>
          <w:highlight w:val="none"/>
        </w:rPr>
        <w:t>一、评价</w:t>
      </w:r>
      <w:bookmarkEnd w:id="3"/>
      <w:bookmarkStart w:id="7" w:name="_Toc21678"/>
      <w:bookmarkStart w:id="8" w:name="_Toc12900"/>
      <w:r>
        <w:rPr>
          <w:rFonts w:hint="eastAsia"/>
          <w:color w:val="auto"/>
          <w:highlight w:val="none"/>
        </w:rPr>
        <w:t>概况</w:t>
      </w:r>
      <w:bookmarkEnd w:id="4"/>
    </w:p>
    <w:p w14:paraId="0C03BAB7">
      <w:pPr>
        <w:bidi w:val="0"/>
        <w:rPr>
          <w:rFonts w:hint="default"/>
          <w:color w:val="auto"/>
          <w:highlight w:val="none"/>
          <w:lang w:val="en-US" w:eastAsia="zh-CN"/>
        </w:rPr>
      </w:pPr>
      <w:r>
        <w:rPr>
          <w:rFonts w:hint="eastAsia"/>
          <w:color w:val="auto"/>
          <w:highlight w:val="none"/>
          <w:lang w:val="en-US" w:eastAsia="zh-CN"/>
        </w:rPr>
        <w:t>广财评估</w:t>
      </w:r>
      <w:r>
        <w:rPr>
          <w:rFonts w:hint="eastAsia"/>
          <w:color w:val="auto"/>
          <w:highlight w:val="none"/>
        </w:rPr>
        <w:t>采用定性与定量相结合的方式，</w:t>
      </w:r>
      <w:r>
        <w:rPr>
          <w:rFonts w:hint="eastAsia"/>
          <w:color w:val="auto"/>
          <w:highlight w:val="none"/>
          <w:lang w:val="en-US" w:eastAsia="zh-CN"/>
        </w:rPr>
        <w:t>通过书面评审、现场评价等手段，</w:t>
      </w:r>
      <w:r>
        <w:rPr>
          <w:rFonts w:hint="eastAsia"/>
          <w:color w:val="auto"/>
          <w:highlight w:val="none"/>
        </w:rPr>
        <w:t>围绕</w:t>
      </w:r>
      <w:r>
        <w:rPr>
          <w:rFonts w:hint="eastAsia"/>
          <w:color w:val="auto"/>
          <w:highlight w:val="none"/>
          <w:lang w:val="en-US" w:eastAsia="zh-CN"/>
        </w:rPr>
        <w:t>预算编制情况</w:t>
      </w:r>
      <w:r>
        <w:rPr>
          <w:rFonts w:hint="eastAsia"/>
          <w:color w:val="auto"/>
          <w:highlight w:val="none"/>
        </w:rPr>
        <w:t>、</w:t>
      </w:r>
      <w:r>
        <w:rPr>
          <w:rFonts w:hint="eastAsia"/>
          <w:color w:val="auto"/>
          <w:highlight w:val="none"/>
          <w:lang w:val="en-US" w:eastAsia="zh-CN"/>
        </w:rPr>
        <w:t>预算执行情况、预算使用效益及加减分项四</w:t>
      </w:r>
      <w:r>
        <w:rPr>
          <w:rFonts w:hint="eastAsia"/>
          <w:color w:val="auto"/>
          <w:highlight w:val="none"/>
        </w:rPr>
        <w:t>大方面实施部门整体绩效评价，</w:t>
      </w:r>
      <w:r>
        <w:rPr>
          <w:rFonts w:hint="eastAsia"/>
          <w:color w:val="auto"/>
          <w:highlight w:val="none"/>
          <w:lang w:val="en-US" w:eastAsia="zh-CN"/>
        </w:rPr>
        <w:t>西郊街道</w:t>
      </w:r>
      <w:r>
        <w:rPr>
          <w:rFonts w:hint="eastAsia"/>
          <w:color w:val="auto"/>
          <w:highlight w:val="none"/>
        </w:rPr>
        <w:t>20</w:t>
      </w:r>
      <w:r>
        <w:rPr>
          <w:rFonts w:hint="eastAsia"/>
          <w:color w:val="auto"/>
          <w:highlight w:val="none"/>
          <w:lang w:val="en-US" w:eastAsia="zh-CN"/>
        </w:rPr>
        <w:t>22</w:t>
      </w:r>
      <w:r>
        <w:rPr>
          <w:rFonts w:hint="eastAsia"/>
          <w:color w:val="auto"/>
          <w:highlight w:val="none"/>
        </w:rPr>
        <w:t>年部门整体支出绩效评价综合得分为</w:t>
      </w:r>
      <w:r>
        <w:rPr>
          <w:rFonts w:hint="default"/>
          <w:color w:val="auto"/>
          <w:highlight w:val="none"/>
        </w:rPr>
        <w:t>74.43</w:t>
      </w:r>
      <w:r>
        <w:rPr>
          <w:rFonts w:hint="eastAsia"/>
          <w:color w:val="auto"/>
          <w:highlight w:val="none"/>
        </w:rPr>
        <w:t>分</w:t>
      </w:r>
      <w:r>
        <w:rPr>
          <w:rFonts w:hint="eastAsia"/>
          <w:color w:val="auto"/>
          <w:highlight w:val="none"/>
          <w:lang w:eastAsia="zh-CN"/>
        </w:rPr>
        <w:t>。</w:t>
      </w:r>
    </w:p>
    <w:p w14:paraId="0F4F4280">
      <w:pPr>
        <w:pStyle w:val="2"/>
        <w:bidi w:val="0"/>
        <w:rPr>
          <w:rFonts w:ascii="Arial" w:hAnsi="Arial"/>
          <w:color w:val="auto"/>
          <w:highlight w:val="none"/>
        </w:rPr>
      </w:pPr>
      <w:bookmarkStart w:id="9" w:name="_Toc26917"/>
      <w:r>
        <w:rPr>
          <w:rFonts w:ascii="Arial" w:hAnsi="Arial"/>
          <w:color w:val="auto"/>
          <w:highlight w:val="none"/>
        </w:rPr>
        <w:t>二、部门整体概况</w:t>
      </w:r>
      <w:bookmarkEnd w:id="5"/>
      <w:bookmarkEnd w:id="6"/>
      <w:bookmarkEnd w:id="7"/>
      <w:bookmarkEnd w:id="8"/>
      <w:bookmarkEnd w:id="9"/>
    </w:p>
    <w:p w14:paraId="0E8C141B">
      <w:pPr>
        <w:pStyle w:val="4"/>
        <w:bidi w:val="0"/>
        <w:rPr>
          <w:color w:val="auto"/>
          <w:highlight w:val="none"/>
        </w:rPr>
      </w:pPr>
      <w:bookmarkStart w:id="10" w:name="_Toc32023"/>
      <w:bookmarkStart w:id="11" w:name="_Toc30795"/>
      <w:bookmarkStart w:id="12" w:name="_Toc32113"/>
      <w:bookmarkStart w:id="13" w:name="_Toc22315"/>
      <w:bookmarkStart w:id="14" w:name="_Toc17891"/>
      <w:r>
        <w:rPr>
          <w:color w:val="auto"/>
          <w:highlight w:val="none"/>
        </w:rPr>
        <w:t>（一）</w:t>
      </w:r>
      <w:bookmarkEnd w:id="10"/>
      <w:bookmarkEnd w:id="11"/>
      <w:r>
        <w:rPr>
          <w:color w:val="auto"/>
          <w:highlight w:val="none"/>
        </w:rPr>
        <w:t>部门基本情况</w:t>
      </w:r>
      <w:bookmarkEnd w:id="12"/>
      <w:bookmarkEnd w:id="13"/>
      <w:bookmarkEnd w:id="14"/>
    </w:p>
    <w:bookmarkEnd w:id="2"/>
    <w:p w14:paraId="6419CA03">
      <w:pPr>
        <w:pStyle w:val="5"/>
        <w:bidi w:val="0"/>
        <w:rPr>
          <w:rFonts w:hint="eastAsia"/>
          <w:color w:val="auto"/>
          <w:highlight w:val="none"/>
        </w:rPr>
      </w:pPr>
      <w:r>
        <w:rPr>
          <w:rFonts w:hint="eastAsia"/>
          <w:color w:val="auto"/>
          <w:highlight w:val="none"/>
        </w:rPr>
        <w:t>1、部门主要职能</w:t>
      </w:r>
    </w:p>
    <w:p w14:paraId="4DF25A52">
      <w:pPr>
        <w:rPr>
          <w:rFonts w:hint="eastAsia"/>
          <w:color w:val="auto"/>
          <w:highlight w:val="none"/>
        </w:rPr>
      </w:pPr>
      <w:r>
        <w:rPr>
          <w:rFonts w:hint="default" w:ascii="仿宋_GB2312" w:hAnsi="Times New Roman" w:cs="仿宋_GB2312"/>
          <w:color w:val="auto"/>
          <w:kern w:val="2"/>
          <w:sz w:val="32"/>
          <w:szCs w:val="32"/>
          <w:highlight w:val="none"/>
          <w:lang w:eastAsia="zh-CN" w:bidi="ar"/>
        </w:rPr>
        <w:t>根据《中共梅州市梅江区西郊街道工作委员会、梅州市梅江区人民政府西郊街道办事处职能配置、内设机构和人员编制规定》（梅区办发〔2020</w:t>
      </w:r>
      <w:r>
        <w:rPr>
          <w:rFonts w:hint="eastAsia" w:ascii="仿宋_GB2312" w:hAnsi="Times New Roman" w:cs="仿宋_GB2312"/>
          <w:color w:val="auto"/>
          <w:kern w:val="2"/>
          <w:sz w:val="32"/>
          <w:szCs w:val="32"/>
          <w:highlight w:val="none"/>
          <w:lang w:eastAsia="zh-CN" w:bidi="ar"/>
        </w:rPr>
        <w:t>〕</w:t>
      </w:r>
      <w:r>
        <w:rPr>
          <w:rFonts w:hint="default" w:ascii="仿宋_GB2312" w:hAnsi="Times New Roman" w:cs="仿宋_GB2312"/>
          <w:color w:val="auto"/>
          <w:kern w:val="2"/>
          <w:sz w:val="32"/>
          <w:szCs w:val="32"/>
          <w:highlight w:val="none"/>
          <w:lang w:eastAsia="zh-CN" w:bidi="ar"/>
        </w:rPr>
        <w:t>10号）的通知，确定西郊街道的主要职能是：</w:t>
      </w:r>
    </w:p>
    <w:p w14:paraId="411618BA">
      <w:pPr>
        <w:numPr>
          <w:ilvl w:val="0"/>
          <w:numId w:val="0"/>
        </w:numPr>
        <w:bidi w:val="0"/>
        <w:ind w:firstLine="640" w:firstLineChars="200"/>
        <w:rPr>
          <w:rFonts w:hint="default"/>
          <w:color w:val="auto"/>
          <w:highlight w:val="none"/>
        </w:rPr>
      </w:pPr>
      <w:r>
        <w:rPr>
          <w:rFonts w:hint="default"/>
          <w:color w:val="auto"/>
          <w:highlight w:val="none"/>
        </w:rPr>
        <w:t>（1）宣传贯彻落实党和国家各项方针政策和法律法规，执行上级的决议、决定。研究决定本街道党的建设、公共服务、公共管理、公共安全等方面的重大问题。</w:t>
      </w:r>
    </w:p>
    <w:p w14:paraId="7B7B99EC">
      <w:pPr>
        <w:numPr>
          <w:ilvl w:val="0"/>
          <w:numId w:val="0"/>
        </w:numPr>
        <w:bidi w:val="0"/>
        <w:ind w:firstLine="640" w:firstLineChars="200"/>
        <w:rPr>
          <w:rFonts w:hint="default"/>
          <w:color w:val="auto"/>
          <w:highlight w:val="none"/>
        </w:rPr>
      </w:pPr>
      <w:r>
        <w:rPr>
          <w:rFonts w:hint="default"/>
          <w:color w:val="auto"/>
          <w:highlight w:val="none"/>
        </w:rPr>
        <w:t>（2）落实基层党建工作责任制，严格抓好基层党组织建设各项制度、统筹抓好基层党建工作，推进全面从严治党，强化“两个责任”，落实农村（社区）基层党建，全面加强农村（社区）基层宣传思想文化工作，健全完善党建引领基层休系，进一步增强党在农村的政治领导力、思想引领力、群众组织力、社会号召力，确保党的路线方针政策在基层得到全面贯彻落实。</w:t>
      </w:r>
    </w:p>
    <w:p w14:paraId="0A282BE7">
      <w:pPr>
        <w:numPr>
          <w:ilvl w:val="0"/>
          <w:numId w:val="0"/>
        </w:numPr>
        <w:bidi w:val="0"/>
        <w:ind w:firstLine="640" w:firstLineChars="200"/>
        <w:rPr>
          <w:rFonts w:hint="default"/>
          <w:color w:val="auto"/>
          <w:highlight w:val="none"/>
        </w:rPr>
      </w:pPr>
      <w:r>
        <w:rPr>
          <w:rFonts w:hint="default"/>
          <w:color w:val="auto"/>
          <w:highlight w:val="none"/>
        </w:rPr>
        <w:t>（3）统筹制定区域发展重大决策和建设规划，引导和扶持各类经济组织的发展实施乡村振兴战略，指导农村经济发展，推进农业结构调整，组织引导农村富余劳动力向非农产业和城镇转移。积极维护社会经济秩序。营造浩公正、公平的发展环境，着力解决工业化和城镇化发展进程中的各种问题，提高经济发展的质量和水平。</w:t>
      </w:r>
    </w:p>
    <w:p w14:paraId="179F055F">
      <w:pPr>
        <w:numPr>
          <w:ilvl w:val="0"/>
          <w:numId w:val="0"/>
        </w:numPr>
        <w:bidi w:val="0"/>
        <w:ind w:firstLine="640" w:firstLineChars="200"/>
        <w:rPr>
          <w:rFonts w:hint="default"/>
          <w:color w:val="auto"/>
          <w:highlight w:val="none"/>
        </w:rPr>
      </w:pPr>
      <w:r>
        <w:rPr>
          <w:rFonts w:hint="default"/>
          <w:color w:val="auto"/>
          <w:highlight w:val="none"/>
        </w:rPr>
        <w:t>（4）统筹负责辖区公共服务工作。组织实施与群众生活密切相关的各项公共服务，落实劳动就业、社会保障、民政、教育、文化、体育、卫生健康、土地流转、退役军人事务管理服务等方面相关政策。拓宽服务渠道，改进服务方式，建立健全群众办事一次办结机制。推进政务服务平台标准化建设，深入推进“一窗受理、集成服务”改革，提升群众获得感和幸福感。</w:t>
      </w:r>
    </w:p>
    <w:p w14:paraId="2042CE48">
      <w:pPr>
        <w:numPr>
          <w:ilvl w:val="0"/>
          <w:numId w:val="0"/>
        </w:numPr>
        <w:bidi w:val="0"/>
        <w:ind w:firstLine="640" w:firstLineChars="200"/>
        <w:rPr>
          <w:rFonts w:hint="default" w:ascii="仿宋_GB2312"/>
          <w:color w:val="auto"/>
          <w:highlight w:val="none"/>
          <w:lang w:eastAsia="zh-CN"/>
        </w:rPr>
      </w:pPr>
      <w:r>
        <w:rPr>
          <w:rFonts w:hint="default" w:ascii="仿宋_GB2312"/>
          <w:color w:val="auto"/>
          <w:highlight w:val="none"/>
          <w:lang w:eastAsia="zh-CN"/>
        </w:rPr>
        <w:t>（5）统筹负责辖区综合治理工作。承担辖区平安建设和社会治安综合治理工作，全面加强全科网格建设，夯实基层治理根基。落实社会矛盾纠纷排查调处机制,综合发挥人民调解、行政调解和司法调解的作用，及时化解辖区社会矛盾，确保社会稳定。负责辖区公共安全及安全生产监管，构建公共安全防控体系，建立应对突发紧急事件的处理预案，做好安全生产、防汛、防火、防疫、气象灾害防御、食品药品安全等应急管理工作。</w:t>
      </w:r>
    </w:p>
    <w:p w14:paraId="6570AA9F">
      <w:pPr>
        <w:keepNext w:val="0"/>
        <w:keepLines w:val="0"/>
        <w:widowControl w:val="0"/>
        <w:suppressLineNumbers w:val="0"/>
        <w:snapToGrid w:val="0"/>
        <w:spacing w:before="0" w:beforeAutospacing="0" w:after="0" w:afterAutospacing="0" w:line="360" w:lineRule="auto"/>
        <w:ind w:left="0" w:right="0" w:firstLine="640" w:firstLineChars="200"/>
        <w:jc w:val="both"/>
        <w:rPr>
          <w:rFonts w:hint="default" w:ascii="仿宋_GB2312"/>
          <w:color w:val="auto"/>
          <w:highlight w:val="none"/>
          <w:lang w:eastAsia="zh-CN"/>
        </w:rPr>
      </w:pPr>
      <w:r>
        <w:rPr>
          <w:rFonts w:hint="default" w:ascii="仿宋_GB2312"/>
          <w:color w:val="auto"/>
          <w:highlight w:val="none"/>
          <w:lang w:eastAsia="zh-CN"/>
        </w:rPr>
        <w:t>（6）统筹负责辖区综合行政执法工作。组织实施辖区综合行政执法工作,依法依规履行辖区自然资源和规划建设、城市管理、农业、生态环境保护、市场监管、卫生健康等领域综合行政执法职责。</w:t>
      </w:r>
    </w:p>
    <w:p w14:paraId="71416A99">
      <w:pPr>
        <w:keepNext w:val="0"/>
        <w:keepLines w:val="0"/>
        <w:widowControl w:val="0"/>
        <w:suppressLineNumbers w:val="0"/>
        <w:snapToGrid w:val="0"/>
        <w:spacing w:before="0" w:beforeAutospacing="0" w:after="0" w:afterAutospacing="0" w:line="360" w:lineRule="auto"/>
        <w:ind w:left="0" w:right="0" w:firstLine="640" w:firstLineChars="200"/>
        <w:jc w:val="both"/>
        <w:rPr>
          <w:rFonts w:hint="default" w:ascii="仿宋_GB2312"/>
          <w:color w:val="auto"/>
          <w:highlight w:val="none"/>
          <w:lang w:eastAsia="zh-CN"/>
        </w:rPr>
      </w:pPr>
      <w:r>
        <w:rPr>
          <w:rFonts w:hint="default" w:ascii="仿宋_GB2312"/>
          <w:color w:val="auto"/>
          <w:highlight w:val="none"/>
          <w:lang w:eastAsia="zh-CN"/>
        </w:rPr>
        <w:t>（7）完善党领导下的基层社会治理体系，提高基层自治水平。发挥村(社区）党组织在基层群众自治组织建设中的领导核心作用，推进社会主义基层协商民主建设，做好组织群众、宣传群众、凝聚群众、服务群众工作，发挥村（居)民在基层社会治理中的主体作用。</w:t>
      </w:r>
    </w:p>
    <w:p w14:paraId="62F0BD11">
      <w:pPr>
        <w:numPr>
          <w:ilvl w:val="0"/>
          <w:numId w:val="0"/>
        </w:numPr>
        <w:bidi w:val="0"/>
        <w:ind w:firstLine="640" w:firstLineChars="200"/>
        <w:rPr>
          <w:rFonts w:hint="default" w:ascii="仿宋_GB2312"/>
          <w:color w:val="auto"/>
          <w:highlight w:val="none"/>
          <w:lang w:eastAsia="zh-CN"/>
        </w:rPr>
      </w:pPr>
      <w:r>
        <w:rPr>
          <w:rFonts w:hint="default" w:ascii="仿宋_GB2312"/>
          <w:color w:val="auto"/>
          <w:highlight w:val="none"/>
          <w:lang w:eastAsia="zh-CN"/>
        </w:rPr>
        <w:t>（8）动员辖区内各类单位、社会组织和村(居）民等社会力量参与社会治理，引导辖区内单位履行社会责任，整合区域内各种社会力量为辖区发展服务。</w:t>
      </w:r>
    </w:p>
    <w:p w14:paraId="48D19156">
      <w:pPr>
        <w:numPr>
          <w:ilvl w:val="0"/>
          <w:numId w:val="0"/>
        </w:numPr>
        <w:bidi w:val="0"/>
        <w:ind w:firstLine="640" w:firstLineChars="200"/>
        <w:rPr>
          <w:rFonts w:hint="default" w:ascii="仿宋_GB2312"/>
          <w:color w:val="auto"/>
          <w:highlight w:val="none"/>
          <w:lang w:eastAsia="zh-CN"/>
        </w:rPr>
      </w:pPr>
      <w:r>
        <w:rPr>
          <w:rFonts w:hint="default" w:ascii="仿宋_GB2312"/>
          <w:color w:val="auto"/>
          <w:highlight w:val="none"/>
          <w:lang w:eastAsia="zh-CN"/>
        </w:rPr>
        <w:t>（9）负责经费的划拨和核算工作,并指导、协调、监督社区和农村合作经济组织的财务、会计、审计工作。</w:t>
      </w:r>
    </w:p>
    <w:p w14:paraId="6E8C5BB4">
      <w:pPr>
        <w:keepNext w:val="0"/>
        <w:keepLines w:val="0"/>
        <w:widowControl w:val="0"/>
        <w:suppressLineNumbers w:val="0"/>
        <w:snapToGrid w:val="0"/>
        <w:spacing w:before="0" w:beforeAutospacing="0" w:after="0" w:afterAutospacing="0" w:line="360" w:lineRule="auto"/>
        <w:ind w:left="0" w:right="0" w:firstLine="640" w:firstLineChars="200"/>
        <w:jc w:val="both"/>
        <w:rPr>
          <w:rFonts w:hint="default" w:ascii="仿宋_GB2312"/>
          <w:color w:val="auto"/>
          <w:highlight w:val="none"/>
          <w:lang w:eastAsia="zh-CN"/>
        </w:rPr>
      </w:pPr>
      <w:r>
        <w:rPr>
          <w:rFonts w:hint="default" w:ascii="仿宋_GB2312"/>
          <w:color w:val="auto"/>
          <w:highlight w:val="none"/>
          <w:lang w:eastAsia="zh-CN"/>
        </w:rPr>
        <w:t>（10）按照干部管理权限，负责干部的培育、选拔、管理和使用工作。协助管理上级有关部门驻镇单位的干部。做好人才服务和引进工作。</w:t>
      </w:r>
    </w:p>
    <w:p w14:paraId="119FB48D">
      <w:pPr>
        <w:keepNext w:val="0"/>
        <w:keepLines w:val="0"/>
        <w:widowControl w:val="0"/>
        <w:suppressLineNumbers w:val="0"/>
        <w:snapToGrid w:val="0"/>
        <w:spacing w:before="0" w:beforeAutospacing="0" w:after="0" w:afterAutospacing="0" w:line="360" w:lineRule="auto"/>
        <w:ind w:left="0" w:right="0" w:firstLine="640" w:firstLineChars="200"/>
        <w:jc w:val="both"/>
        <w:rPr>
          <w:rFonts w:hint="default" w:ascii="仿宋_GB2312"/>
          <w:color w:val="auto"/>
          <w:highlight w:val="none"/>
          <w:lang w:eastAsia="zh-CN"/>
        </w:rPr>
      </w:pPr>
      <w:r>
        <w:rPr>
          <w:rFonts w:hint="default" w:ascii="仿宋_GB2312"/>
          <w:color w:val="auto"/>
          <w:highlight w:val="none"/>
          <w:lang w:eastAsia="zh-CN"/>
        </w:rPr>
        <w:t>（11）完成区委、区政府交办的其他任务。</w:t>
      </w:r>
    </w:p>
    <w:p w14:paraId="0E7275CC">
      <w:pPr>
        <w:keepNext w:val="0"/>
        <w:keepLines w:val="0"/>
        <w:widowControl w:val="0"/>
        <w:suppressLineNumbers w:val="0"/>
        <w:snapToGrid w:val="0"/>
        <w:spacing w:before="0" w:beforeAutospacing="0" w:after="0" w:afterAutospacing="0" w:line="360" w:lineRule="auto"/>
        <w:ind w:left="0" w:right="0" w:firstLine="640" w:firstLineChars="200"/>
        <w:jc w:val="both"/>
        <w:rPr>
          <w:rFonts w:hint="default" w:ascii="仿宋_GB2312"/>
          <w:color w:val="auto"/>
          <w:highlight w:val="none"/>
          <w:lang w:eastAsia="zh-CN"/>
        </w:rPr>
      </w:pPr>
    </w:p>
    <w:p w14:paraId="7BB61BA5">
      <w:pPr>
        <w:pStyle w:val="5"/>
        <w:bidi w:val="0"/>
        <w:rPr>
          <w:rFonts w:hint="eastAsia"/>
          <w:color w:val="auto"/>
          <w:highlight w:val="none"/>
        </w:rPr>
      </w:pPr>
      <w:r>
        <w:rPr>
          <w:rFonts w:hint="eastAsia"/>
          <w:color w:val="auto"/>
          <w:highlight w:val="none"/>
        </w:rPr>
        <w:t>2、内设单位与预算编制范围</w:t>
      </w:r>
    </w:p>
    <w:p w14:paraId="3B5BE0C3">
      <w:pPr>
        <w:keepNext w:val="0"/>
        <w:keepLines w:val="0"/>
        <w:widowControl w:val="0"/>
        <w:suppressLineNumbers w:val="0"/>
        <w:bidi w:val="0"/>
        <w:spacing w:before="0" w:beforeAutospacing="0" w:after="0" w:afterAutospacing="0"/>
        <w:ind w:left="0" w:right="0"/>
        <w:jc w:val="both"/>
        <w:rPr>
          <w:rFonts w:hint="eastAsia"/>
          <w:color w:val="auto"/>
          <w:highlight w:val="none"/>
        </w:rPr>
      </w:pPr>
      <w:r>
        <w:rPr>
          <w:rFonts w:hint="default" w:ascii="仿宋_GB2312"/>
          <w:color w:val="auto"/>
          <w:highlight w:val="none"/>
          <w:lang w:eastAsia="zh-CN"/>
        </w:rPr>
        <w:t>西郊街道</w:t>
      </w:r>
      <w:r>
        <w:rPr>
          <w:rFonts w:hint="default" w:ascii="仿宋_GB2312"/>
          <w:color w:val="auto"/>
          <w:highlight w:val="none"/>
          <w:lang w:val="en-US" w:eastAsia="zh-CN"/>
        </w:rPr>
        <w:t>内设九个办公室和五个服务中心，九个办公室分别是党政综合办公室、党建工作办公室、公共服务办公室、综合治理办公室、综合行政执法办公室、经济发展办公室、城市管理办公室、规划建设办公室、纪检监察办公室，五个服务中心分别是农业农村服务中心、经济发展和财政服务中心、公用事业社会保障服务中心、文旅教体服务中心、退役军人服务站。</w:t>
      </w:r>
    </w:p>
    <w:p w14:paraId="3F26F1AA">
      <w:pPr>
        <w:pStyle w:val="5"/>
        <w:bidi w:val="0"/>
        <w:rPr>
          <w:rFonts w:hint="eastAsia"/>
          <w:color w:val="auto"/>
          <w:highlight w:val="none"/>
        </w:rPr>
      </w:pPr>
      <w:r>
        <w:rPr>
          <w:rFonts w:hint="eastAsia"/>
          <w:color w:val="auto"/>
          <w:highlight w:val="none"/>
        </w:rPr>
        <w:t>3、部门人员编制构成</w:t>
      </w:r>
    </w:p>
    <w:p w14:paraId="2512CBD9">
      <w:pPr>
        <w:bidi w:val="0"/>
        <w:rPr>
          <w:rFonts w:hint="default"/>
          <w:color w:val="auto"/>
          <w:highlight w:val="none"/>
          <w:lang w:eastAsia="zh-CN"/>
        </w:rPr>
      </w:pPr>
      <w:r>
        <w:rPr>
          <w:rFonts w:hint="default"/>
          <w:color w:val="auto"/>
          <w:highlight w:val="none"/>
          <w:lang w:val="en-US" w:eastAsia="zh-CN"/>
        </w:rPr>
        <w:t>西郊街道独立编制机构数是6个，分别是西郊街道办事处、农业农村服务中心、经济发展和财政服务中心、公用事业社会保障服务中心、文旅教体服务中心、退役军人服务站；独立核算机构数2个，分别是西郊街道办事处和经济发展和财政服务中心，其中5个服务中心（站）的人员经费和公用经费等均由经济发展和财政服务中心统一编制和核算</w:t>
      </w:r>
      <w:r>
        <w:rPr>
          <w:rFonts w:hint="default"/>
          <w:color w:val="auto"/>
          <w:highlight w:val="none"/>
          <w:lang w:eastAsia="zh-CN"/>
        </w:rPr>
        <w:t>。</w:t>
      </w:r>
      <w:bookmarkStart w:id="15" w:name="_Toc16338"/>
      <w:bookmarkStart w:id="16" w:name="_Toc25689"/>
      <w:r>
        <w:rPr>
          <w:rFonts w:hint="default"/>
          <w:color w:val="auto"/>
          <w:highlight w:val="none"/>
          <w:lang w:eastAsia="zh-CN"/>
        </w:rPr>
        <w:t>单位人员情况：截至2022年12月31日，财政核定编制在职人员为108人；年末实有在职人员为106人，其中机关人员61人，工勤人员3人电其他人员12人；其中离休人员0人，退休人员7人；遗属以及其他人员12人。</w:t>
      </w:r>
    </w:p>
    <w:p w14:paraId="6577C641">
      <w:pPr>
        <w:rPr>
          <w:rFonts w:hint="default"/>
          <w:color w:val="auto"/>
          <w:highlight w:val="none"/>
          <w:lang w:eastAsia="zh-CN"/>
        </w:rPr>
      </w:pPr>
    </w:p>
    <w:p w14:paraId="6CA67CBF">
      <w:pPr>
        <w:pStyle w:val="4"/>
        <w:bidi w:val="0"/>
        <w:rPr>
          <w:color w:val="auto"/>
          <w:highlight w:val="none"/>
          <w:lang w:val="en-US" w:eastAsia="zh-CN"/>
        </w:rPr>
      </w:pPr>
      <w:bookmarkStart w:id="17" w:name="_Toc4359"/>
      <w:r>
        <w:rPr>
          <w:rFonts w:hint="default"/>
          <w:color w:val="auto"/>
          <w:highlight w:val="none"/>
          <w:lang w:eastAsia="zh-CN"/>
        </w:rPr>
        <w:t>（二）</w:t>
      </w:r>
      <w:r>
        <w:rPr>
          <w:color w:val="auto"/>
          <w:highlight w:val="none"/>
          <w:lang w:val="en-US" w:eastAsia="zh-CN"/>
        </w:rPr>
        <w:t>20</w:t>
      </w:r>
      <w:r>
        <w:rPr>
          <w:rFonts w:hint="eastAsia"/>
          <w:color w:val="auto"/>
          <w:highlight w:val="none"/>
          <w:lang w:val="en-US" w:eastAsia="zh-CN"/>
        </w:rPr>
        <w:t>22</w:t>
      </w:r>
      <w:r>
        <w:rPr>
          <w:color w:val="auto"/>
          <w:highlight w:val="none"/>
          <w:lang w:val="en-US" w:eastAsia="zh-CN"/>
        </w:rPr>
        <w:t>年部门整体支出情况</w:t>
      </w:r>
      <w:bookmarkEnd w:id="17"/>
    </w:p>
    <w:p w14:paraId="4FF88B17">
      <w:pPr>
        <w:bidi w:val="0"/>
        <w:rPr>
          <w:rFonts w:hint="default"/>
          <w:color w:val="auto"/>
          <w:highlight w:val="none"/>
          <w:lang w:val="en-US" w:eastAsia="zh-CN"/>
        </w:rPr>
      </w:pPr>
      <w:r>
        <w:rPr>
          <w:rFonts w:hint="default"/>
          <w:color w:val="auto"/>
          <w:highlight w:val="none"/>
          <w:lang w:eastAsia="zh-CN"/>
        </w:rPr>
        <w:t>西郊街道2022年支出合计25,949,836.63</w:t>
      </w:r>
      <w:r>
        <w:rPr>
          <w:rFonts w:hint="default"/>
          <w:color w:val="auto"/>
          <w:highlight w:val="none"/>
          <w:lang w:val="en-US" w:eastAsia="zh-CN"/>
        </w:rPr>
        <w:t>元，其中：基本支出</w:t>
      </w:r>
      <w:r>
        <w:rPr>
          <w:rFonts w:hint="default"/>
          <w:color w:val="auto"/>
          <w:highlight w:val="none"/>
          <w:lang w:eastAsia="zh-CN"/>
        </w:rPr>
        <w:t>23,301,597.48</w:t>
      </w:r>
      <w:r>
        <w:rPr>
          <w:rFonts w:hint="default"/>
          <w:color w:val="auto"/>
          <w:highlight w:val="none"/>
          <w:lang w:val="en-US" w:eastAsia="zh-CN"/>
        </w:rPr>
        <w:t>元，占89.</w:t>
      </w:r>
      <w:r>
        <w:rPr>
          <w:rFonts w:hint="default"/>
          <w:color w:val="auto"/>
          <w:highlight w:val="none"/>
          <w:lang w:eastAsia="zh-CN"/>
        </w:rPr>
        <w:t>79</w:t>
      </w:r>
      <w:r>
        <w:rPr>
          <w:rFonts w:hint="default"/>
          <w:color w:val="auto"/>
          <w:highlight w:val="none"/>
          <w:lang w:val="en-US" w:eastAsia="zh-CN"/>
        </w:rPr>
        <w:t>%</w:t>
      </w:r>
      <w:r>
        <w:rPr>
          <w:rFonts w:hint="default"/>
          <w:color w:val="auto"/>
          <w:highlight w:val="none"/>
          <w:lang w:eastAsia="zh-CN"/>
        </w:rPr>
        <w:t>；</w:t>
      </w:r>
      <w:r>
        <w:rPr>
          <w:rFonts w:hint="default"/>
          <w:color w:val="auto"/>
          <w:highlight w:val="none"/>
          <w:lang w:val="en-US" w:eastAsia="zh-CN"/>
        </w:rPr>
        <w:t>项目支出</w:t>
      </w:r>
      <w:r>
        <w:rPr>
          <w:rFonts w:hint="default"/>
          <w:color w:val="auto"/>
          <w:highlight w:val="none"/>
          <w:lang w:eastAsia="zh-CN"/>
        </w:rPr>
        <w:t>2,648,239.15</w:t>
      </w:r>
      <w:r>
        <w:rPr>
          <w:rFonts w:hint="default"/>
          <w:color w:val="auto"/>
          <w:highlight w:val="none"/>
          <w:lang w:val="en-US" w:eastAsia="zh-CN"/>
        </w:rPr>
        <w:t>元，占10.</w:t>
      </w:r>
      <w:r>
        <w:rPr>
          <w:rFonts w:hint="default"/>
          <w:color w:val="auto"/>
          <w:highlight w:val="none"/>
          <w:lang w:eastAsia="zh-CN"/>
        </w:rPr>
        <w:t>21</w:t>
      </w:r>
      <w:r>
        <w:rPr>
          <w:rFonts w:hint="default"/>
          <w:color w:val="auto"/>
          <w:highlight w:val="none"/>
          <w:lang w:val="en-US" w:eastAsia="zh-CN"/>
        </w:rPr>
        <w:t>%。</w:t>
      </w:r>
    </w:p>
    <w:p w14:paraId="4062C0B7">
      <w:pPr>
        <w:keepNext w:val="0"/>
        <w:keepLines w:val="0"/>
        <w:widowControl w:val="0"/>
        <w:suppressLineNumbers w:val="0"/>
        <w:spacing w:before="0" w:beforeAutospacing="0" w:after="0" w:afterAutospacing="0"/>
        <w:ind w:left="0" w:right="0"/>
        <w:jc w:val="both"/>
        <w:rPr>
          <w:rFonts w:hint="default" w:ascii="仿宋_GB2312" w:hAnsi="Times New Roman" w:eastAsia="仿宋_GB2312" w:cs="仿宋_GB2312"/>
          <w:color w:val="auto"/>
          <w:kern w:val="2"/>
          <w:sz w:val="32"/>
          <w:szCs w:val="32"/>
          <w:highlight w:val="none"/>
          <w:lang w:val="en-US" w:eastAsia="zh-CN" w:bidi="ar"/>
        </w:rPr>
      </w:pPr>
    </w:p>
    <w:p w14:paraId="1249BB70">
      <w:pPr>
        <w:pStyle w:val="4"/>
        <w:bidi w:val="0"/>
        <w:rPr>
          <w:color w:val="auto"/>
          <w:highlight w:val="none"/>
          <w:lang w:eastAsia="zh-CN"/>
        </w:rPr>
      </w:pPr>
      <w:bookmarkStart w:id="18" w:name="_Toc22319"/>
      <w:r>
        <w:rPr>
          <w:color w:val="auto"/>
          <w:highlight w:val="none"/>
        </w:rPr>
        <w:t>（三）</w:t>
      </w:r>
      <w:r>
        <w:rPr>
          <w:color w:val="auto"/>
          <w:highlight w:val="none"/>
          <w:lang w:val="en-US" w:eastAsia="zh-CN"/>
        </w:rPr>
        <w:t>20</w:t>
      </w:r>
      <w:r>
        <w:rPr>
          <w:rFonts w:hint="eastAsia"/>
          <w:color w:val="auto"/>
          <w:highlight w:val="none"/>
          <w:lang w:val="en-US" w:eastAsia="zh-CN"/>
        </w:rPr>
        <w:t>22</w:t>
      </w:r>
      <w:r>
        <w:rPr>
          <w:color w:val="auto"/>
          <w:highlight w:val="none"/>
          <w:lang w:val="en-US" w:eastAsia="zh-CN"/>
        </w:rPr>
        <w:t>年部门</w:t>
      </w:r>
      <w:r>
        <w:rPr>
          <w:rFonts w:hint="eastAsia"/>
          <w:color w:val="auto"/>
          <w:highlight w:val="none"/>
          <w:lang w:val="en-US" w:eastAsia="zh-CN"/>
        </w:rPr>
        <w:t>整体</w:t>
      </w:r>
      <w:r>
        <w:rPr>
          <w:color w:val="auto"/>
          <w:highlight w:val="none"/>
          <w:lang w:val="en-US" w:eastAsia="zh-CN"/>
        </w:rPr>
        <w:t>任务</w:t>
      </w:r>
      <w:bookmarkEnd w:id="15"/>
      <w:bookmarkEnd w:id="16"/>
      <w:r>
        <w:rPr>
          <w:rFonts w:hint="eastAsia"/>
          <w:color w:val="auto"/>
          <w:highlight w:val="none"/>
          <w:lang w:val="en-US" w:eastAsia="zh-CN"/>
        </w:rPr>
        <w:t>完成及绩效情况</w:t>
      </w:r>
      <w:bookmarkEnd w:id="18"/>
    </w:p>
    <w:p w14:paraId="35FBB116">
      <w:pPr>
        <w:pStyle w:val="5"/>
        <w:bidi w:val="0"/>
        <w:rPr>
          <w:rFonts w:hint="eastAsia"/>
          <w:color w:val="auto"/>
          <w:highlight w:val="none"/>
          <w:lang w:val="en-US" w:eastAsia="zh-CN"/>
        </w:rPr>
      </w:pPr>
      <w:r>
        <w:rPr>
          <w:rFonts w:hint="eastAsia"/>
          <w:color w:val="auto"/>
          <w:highlight w:val="none"/>
          <w:lang w:val="en-US" w:eastAsia="zh-CN"/>
        </w:rPr>
        <w:t>1、整体支出完成及绩效情况</w:t>
      </w:r>
    </w:p>
    <w:p w14:paraId="100512D1">
      <w:pPr>
        <w:bidi w:val="0"/>
        <w:rPr>
          <w:rFonts w:hint="default"/>
          <w:color w:val="auto"/>
          <w:highlight w:val="none"/>
          <w:lang w:eastAsia="zh-CN"/>
        </w:rPr>
      </w:pPr>
      <w:r>
        <w:rPr>
          <w:rFonts w:hint="default"/>
          <w:color w:val="auto"/>
          <w:highlight w:val="none"/>
          <w:lang w:eastAsia="zh-CN"/>
        </w:rPr>
        <w:t>西郊街道调整后的全年预算数为25,949,836.63元，决算数为25,949,836.63元，支出完成率100%。</w:t>
      </w:r>
    </w:p>
    <w:p w14:paraId="7E9A50F4">
      <w:pPr>
        <w:bidi w:val="0"/>
        <w:rPr>
          <w:rFonts w:hint="default"/>
          <w:color w:val="auto"/>
          <w:highlight w:val="none"/>
          <w:lang w:eastAsia="zh-CN"/>
        </w:rPr>
      </w:pPr>
      <w:r>
        <w:rPr>
          <w:rFonts w:hint="default"/>
          <w:color w:val="auto"/>
          <w:highlight w:val="none"/>
          <w:lang w:eastAsia="zh-CN"/>
        </w:rPr>
        <w:t>2022年部门整体支出主要有两方面的目标，分为长期目标和年度目标。</w:t>
      </w:r>
    </w:p>
    <w:p w14:paraId="73379033">
      <w:pPr>
        <w:bidi w:val="0"/>
        <w:rPr>
          <w:rFonts w:hint="default"/>
          <w:color w:val="auto"/>
          <w:highlight w:val="none"/>
          <w:lang w:val="en-US" w:eastAsia="zh-CN"/>
        </w:rPr>
      </w:pPr>
      <w:r>
        <w:rPr>
          <w:rFonts w:hint="default"/>
          <w:color w:val="auto"/>
          <w:highlight w:val="none"/>
          <w:lang w:eastAsia="zh-CN"/>
        </w:rPr>
        <w:t>长期目标为</w:t>
      </w:r>
      <w:r>
        <w:rPr>
          <w:rFonts w:hint="default"/>
          <w:color w:val="auto"/>
          <w:highlight w:val="none"/>
          <w:lang w:val="en-US" w:eastAsia="zh-CN"/>
        </w:rPr>
        <w:t>推进基层党建工作，加强党员教育，提升基层党组织建设水平</w:t>
      </w:r>
      <w:r>
        <w:rPr>
          <w:rFonts w:hint="default"/>
          <w:color w:val="auto"/>
          <w:highlight w:val="none"/>
          <w:lang w:eastAsia="zh-CN"/>
        </w:rPr>
        <w:t>；</w:t>
      </w:r>
      <w:r>
        <w:rPr>
          <w:rFonts w:hint="default"/>
          <w:color w:val="auto"/>
          <w:highlight w:val="none"/>
          <w:lang w:val="en-US" w:eastAsia="zh-CN"/>
        </w:rPr>
        <w:t>根据上级部署，结合自身实际，提升执法效能，真诚服务群众，打造和谐、高效、便捷的营商环境，发掘经济发展潜力</w:t>
      </w:r>
      <w:r>
        <w:rPr>
          <w:rFonts w:hint="default"/>
          <w:color w:val="auto"/>
          <w:highlight w:val="none"/>
          <w:lang w:eastAsia="zh-CN"/>
        </w:rPr>
        <w:t>；</w:t>
      </w:r>
      <w:r>
        <w:rPr>
          <w:rFonts w:hint="default"/>
          <w:color w:val="auto"/>
          <w:highlight w:val="none"/>
          <w:lang w:val="en-US" w:eastAsia="zh-CN"/>
        </w:rPr>
        <w:t>切实加强民生保护，致力发展社会事业</w:t>
      </w:r>
      <w:r>
        <w:rPr>
          <w:rFonts w:hint="default"/>
          <w:color w:val="auto"/>
          <w:highlight w:val="none"/>
          <w:lang w:eastAsia="zh-CN"/>
        </w:rPr>
        <w:t>；</w:t>
      </w:r>
      <w:r>
        <w:rPr>
          <w:rFonts w:hint="default"/>
          <w:color w:val="auto"/>
          <w:highlight w:val="none"/>
          <w:lang w:val="en-US" w:eastAsia="zh-CN"/>
        </w:rPr>
        <w:t>加大环境整治力度，大力推进宜居宜业和美乡村建设，提升城市环境，提高居民幸福指数</w:t>
      </w:r>
      <w:r>
        <w:rPr>
          <w:rFonts w:hint="default"/>
          <w:color w:val="auto"/>
          <w:highlight w:val="none"/>
          <w:lang w:eastAsia="zh-CN"/>
        </w:rPr>
        <w:t>；</w:t>
      </w:r>
      <w:r>
        <w:rPr>
          <w:rFonts w:hint="default"/>
          <w:color w:val="auto"/>
          <w:highlight w:val="none"/>
          <w:lang w:val="en-US" w:eastAsia="zh-CN"/>
        </w:rPr>
        <w:t>夯实综合治理工作，创新发展、逐步推行“一网统管、一网直达、一网服务 ”的社区基层治理模式，提升社会治理水平。</w:t>
      </w:r>
    </w:p>
    <w:p w14:paraId="6FE674D9">
      <w:pPr>
        <w:bidi w:val="0"/>
        <w:rPr>
          <w:rFonts w:hint="default"/>
          <w:color w:val="auto"/>
          <w:highlight w:val="none"/>
          <w:lang w:eastAsia="zh-CN"/>
        </w:rPr>
      </w:pPr>
      <w:r>
        <w:rPr>
          <w:rFonts w:hint="default"/>
          <w:color w:val="auto"/>
          <w:highlight w:val="none"/>
          <w:lang w:eastAsia="zh-CN"/>
        </w:rPr>
        <w:t>年度目标分别为一是夯实党建基础；二是</w:t>
      </w:r>
      <w:r>
        <w:rPr>
          <w:rFonts w:hint="default"/>
          <w:color w:val="auto"/>
          <w:highlight w:val="none"/>
          <w:lang w:val="en-US" w:eastAsia="zh-CN"/>
        </w:rPr>
        <w:t>全面推进城市更新，改善人民生活环境</w:t>
      </w:r>
      <w:r>
        <w:rPr>
          <w:rFonts w:hint="default"/>
          <w:color w:val="auto"/>
          <w:highlight w:val="none"/>
          <w:lang w:eastAsia="zh-CN"/>
        </w:rPr>
        <w:t>；三是</w:t>
      </w:r>
      <w:r>
        <w:rPr>
          <w:rFonts w:hint="default"/>
          <w:color w:val="auto"/>
          <w:highlight w:val="none"/>
          <w:lang w:val="en-US" w:eastAsia="zh-CN"/>
        </w:rPr>
        <w:t>认真落实各项民生工程，积极开展困难救助帮扶，推进就业指导和服务，不断完善社会保障体系，提高居民满意度</w:t>
      </w:r>
      <w:r>
        <w:rPr>
          <w:rFonts w:hint="default"/>
          <w:color w:val="auto"/>
          <w:highlight w:val="none"/>
          <w:lang w:eastAsia="zh-CN"/>
        </w:rPr>
        <w:t>；四是</w:t>
      </w:r>
      <w:r>
        <w:rPr>
          <w:rFonts w:hint="default"/>
          <w:color w:val="auto"/>
          <w:highlight w:val="none"/>
          <w:lang w:val="en-US" w:eastAsia="zh-CN"/>
        </w:rPr>
        <w:t>积极推进全面创新社会治理，全方位做好公共安全管理，确保生产、消防、食品药品安全，积极做好平安创建和治安维稳工作，为区域发展提供良好环境</w:t>
      </w:r>
      <w:r>
        <w:rPr>
          <w:rFonts w:hint="default"/>
          <w:color w:val="auto"/>
          <w:highlight w:val="none"/>
          <w:lang w:eastAsia="zh-CN"/>
        </w:rPr>
        <w:t>。</w:t>
      </w:r>
    </w:p>
    <w:p w14:paraId="55F24394">
      <w:pPr>
        <w:bidi w:val="0"/>
        <w:rPr>
          <w:rFonts w:hint="default"/>
          <w:color w:val="auto"/>
          <w:highlight w:val="none"/>
          <w:lang w:eastAsia="zh-CN"/>
        </w:rPr>
      </w:pPr>
    </w:p>
    <w:p w14:paraId="6EFFCA43">
      <w:pPr>
        <w:pStyle w:val="5"/>
        <w:bidi w:val="0"/>
        <w:rPr>
          <w:rFonts w:hint="eastAsia"/>
          <w:color w:val="auto"/>
          <w:highlight w:val="none"/>
          <w:lang w:val="en-US" w:eastAsia="zh-CN"/>
        </w:rPr>
      </w:pPr>
      <w:r>
        <w:rPr>
          <w:rFonts w:hint="eastAsia"/>
          <w:color w:val="auto"/>
          <w:highlight w:val="none"/>
          <w:lang w:val="en-US" w:eastAsia="zh-CN"/>
        </w:rPr>
        <w:t>2、主要工作任务完成及绩效情况</w:t>
      </w:r>
    </w:p>
    <w:p w14:paraId="2A2CA3B9">
      <w:pPr>
        <w:bidi w:val="0"/>
        <w:rPr>
          <w:rFonts w:hint="default"/>
          <w:color w:val="auto"/>
          <w:highlight w:val="none"/>
          <w:lang w:eastAsia="zh-CN"/>
        </w:rPr>
      </w:pPr>
      <w:r>
        <w:rPr>
          <w:rFonts w:hint="eastAsia"/>
          <w:color w:val="auto"/>
          <w:highlight w:val="none"/>
          <w:lang w:val="en-US" w:eastAsia="zh-CN"/>
        </w:rPr>
        <w:t>根据项目自评材料，</w:t>
      </w:r>
      <w:r>
        <w:rPr>
          <w:rFonts w:hint="default"/>
          <w:color w:val="auto"/>
          <w:highlight w:val="none"/>
          <w:lang w:eastAsia="zh-CN"/>
        </w:rPr>
        <w:t>西郊街道2022年主要工作</w:t>
      </w:r>
      <w:r>
        <w:rPr>
          <w:rFonts w:hint="eastAsia"/>
          <w:color w:val="auto"/>
          <w:highlight w:val="none"/>
          <w:lang w:val="en-US" w:eastAsia="zh-CN"/>
        </w:rPr>
        <w:t>工作任务及完成情况如下</w:t>
      </w:r>
      <w:r>
        <w:rPr>
          <w:rFonts w:hint="default"/>
          <w:color w:val="auto"/>
          <w:highlight w:val="none"/>
          <w:lang w:eastAsia="zh-CN"/>
        </w:rPr>
        <w:t>：</w:t>
      </w:r>
    </w:p>
    <w:p w14:paraId="73D7DE64">
      <w:pPr>
        <w:bidi w:val="0"/>
        <w:rPr>
          <w:rFonts w:hint="default"/>
          <w:color w:val="auto"/>
          <w:highlight w:val="none"/>
          <w:lang w:eastAsia="zh-CN"/>
        </w:rPr>
      </w:pPr>
      <w:r>
        <w:rPr>
          <w:rFonts w:hint="eastAsia"/>
          <w:color w:val="auto"/>
          <w:highlight w:val="none"/>
          <w:lang w:eastAsia="zh-CN"/>
        </w:rPr>
        <w:t>（</w:t>
      </w:r>
      <w:r>
        <w:rPr>
          <w:rFonts w:hint="eastAsia"/>
          <w:color w:val="auto"/>
          <w:highlight w:val="none"/>
          <w:lang w:val="en-US" w:eastAsia="zh-CN"/>
        </w:rPr>
        <w:t>1）</w:t>
      </w:r>
      <w:r>
        <w:rPr>
          <w:rFonts w:hint="default"/>
          <w:color w:val="auto"/>
          <w:highlight w:val="none"/>
          <w:lang w:eastAsia="zh-CN"/>
        </w:rPr>
        <w:t>坚持党建引领。</w:t>
      </w:r>
      <w:r>
        <w:rPr>
          <w:rFonts w:hint="default"/>
          <w:color w:val="auto"/>
          <w:highlight w:val="none"/>
          <w:lang w:val="en-US" w:eastAsia="zh-CN"/>
        </w:rPr>
        <w:t>开展中心组理论学习12次、意识形态研判4次、</w:t>
      </w:r>
      <w:r>
        <w:rPr>
          <w:rFonts w:hint="eastAsia"/>
          <w:color w:val="auto"/>
          <w:highlight w:val="none"/>
          <w:lang w:val="en-US" w:eastAsia="zh-CN"/>
        </w:rPr>
        <w:t>党的</w:t>
      </w:r>
      <w:bookmarkStart w:id="193" w:name="_GoBack"/>
      <w:bookmarkEnd w:id="193"/>
      <w:r>
        <w:rPr>
          <w:rFonts w:hint="default"/>
          <w:color w:val="auto"/>
          <w:highlight w:val="none"/>
          <w:lang w:val="en-US" w:eastAsia="zh-CN"/>
        </w:rPr>
        <w:t>二十大精神集中学习2场次、省第十三次党代会专题学习研讨班4场次、班子成员和各党组织书记带头上党课68场次、线上培训街道干部职工2200人次。专题召开4场“两新”党组织书记座谈会</w:t>
      </w:r>
      <w:r>
        <w:rPr>
          <w:rFonts w:hint="default"/>
          <w:color w:val="auto"/>
          <w:highlight w:val="none"/>
          <w:lang w:eastAsia="zh-CN"/>
        </w:rPr>
        <w:t>。</w:t>
      </w:r>
    </w:p>
    <w:p w14:paraId="6C5E7113">
      <w:pPr>
        <w:bidi w:val="0"/>
        <w:rPr>
          <w:rFonts w:hint="default"/>
          <w:color w:val="auto"/>
          <w:highlight w:val="none"/>
          <w:lang w:eastAsia="zh-CN"/>
        </w:rPr>
      </w:pPr>
      <w:r>
        <w:rPr>
          <w:rFonts w:hint="eastAsia"/>
          <w:color w:val="auto"/>
          <w:highlight w:val="none"/>
          <w:lang w:eastAsia="zh-CN"/>
        </w:rPr>
        <w:t>（</w:t>
      </w:r>
      <w:r>
        <w:rPr>
          <w:rFonts w:hint="eastAsia"/>
          <w:color w:val="auto"/>
          <w:highlight w:val="none"/>
          <w:lang w:val="en-US" w:eastAsia="zh-CN"/>
        </w:rPr>
        <w:t>2）</w:t>
      </w:r>
      <w:r>
        <w:rPr>
          <w:rFonts w:hint="default"/>
          <w:color w:val="auto"/>
          <w:highlight w:val="none"/>
          <w:lang w:eastAsia="zh-CN"/>
        </w:rPr>
        <w:t>推进项目建设。月影塘社区县委宿舍老旧小区改造及周边历史建筑修缮项目全面完工，居家养老服务中心基本完工，梅兴路片区老旧小区建筑主体改造项目和金苑小区C区老旧小区周边道路及配套基础设施提升改造项目顺利推进。</w:t>
      </w:r>
    </w:p>
    <w:p w14:paraId="33658DCA">
      <w:pPr>
        <w:bidi w:val="0"/>
        <w:rPr>
          <w:rFonts w:hint="default"/>
          <w:color w:val="auto"/>
          <w:highlight w:val="none"/>
          <w:lang w:eastAsia="zh-CN"/>
        </w:rPr>
      </w:pPr>
      <w:r>
        <w:rPr>
          <w:rFonts w:hint="eastAsia"/>
          <w:color w:val="auto"/>
          <w:highlight w:val="none"/>
          <w:lang w:eastAsia="zh-CN"/>
        </w:rPr>
        <w:t>（</w:t>
      </w:r>
      <w:r>
        <w:rPr>
          <w:rFonts w:hint="eastAsia"/>
          <w:color w:val="auto"/>
          <w:highlight w:val="none"/>
          <w:lang w:val="en-US" w:eastAsia="zh-CN"/>
        </w:rPr>
        <w:t>3）</w:t>
      </w:r>
      <w:r>
        <w:rPr>
          <w:rFonts w:hint="default"/>
          <w:color w:val="auto"/>
          <w:highlight w:val="none"/>
          <w:lang w:eastAsia="zh-CN"/>
        </w:rPr>
        <w:t>提升执法效能，优化营商环境。共完成线上线下业务办理1万多单，引导无证无照经营办照632家，办证198家；清理长期未经营企业33家；积极开展2021年度市场主体年度报告公示工作，公示企业864户、个体户2055户；开展2022年度市场主体</w:t>
      </w:r>
      <w:r>
        <w:rPr>
          <w:rFonts w:hint="eastAsia"/>
          <w:color w:val="auto"/>
          <w:highlight w:val="none"/>
          <w:lang w:eastAsia="zh-CN"/>
        </w:rPr>
        <w:t>“</w:t>
      </w:r>
      <w:r>
        <w:rPr>
          <w:rFonts w:hint="default"/>
          <w:color w:val="auto"/>
          <w:highlight w:val="none"/>
          <w:lang w:eastAsia="zh-CN"/>
        </w:rPr>
        <w:t>双随机、一公开</w:t>
      </w:r>
      <w:r>
        <w:rPr>
          <w:rFonts w:hint="eastAsia"/>
          <w:color w:val="auto"/>
          <w:highlight w:val="none"/>
          <w:lang w:eastAsia="zh-CN"/>
        </w:rPr>
        <w:t>”</w:t>
      </w:r>
      <w:r>
        <w:rPr>
          <w:rFonts w:hint="default"/>
          <w:color w:val="auto"/>
          <w:highlight w:val="none"/>
          <w:lang w:eastAsia="zh-CN"/>
        </w:rPr>
        <w:t>专项检查行动，检查企业39户、移送异常经营名录18户。</w:t>
      </w:r>
    </w:p>
    <w:p w14:paraId="1A105ED4">
      <w:pPr>
        <w:keepNext w:val="0"/>
        <w:keepLines w:val="0"/>
        <w:widowControl w:val="0"/>
        <w:suppressLineNumbers w:val="0"/>
        <w:bidi w:val="0"/>
        <w:spacing w:before="0" w:beforeAutospacing="0" w:after="0" w:afterAutospacing="0"/>
        <w:ind w:left="0" w:right="0" w:firstLine="640" w:firstLineChars="200"/>
        <w:jc w:val="left"/>
        <w:rPr>
          <w:rFonts w:hint="default" w:ascii="文星仿宋" w:hAnsi="文星仿宋" w:eastAsia="文星仿宋" w:cs="文星仿宋"/>
          <w:color w:val="auto"/>
          <w:kern w:val="2"/>
          <w:sz w:val="32"/>
          <w:szCs w:val="32"/>
          <w:highlight w:val="none"/>
          <w:shd w:val="clear" w:fill="FFFFFF"/>
          <w:lang w:eastAsia="zh-CN" w:bidi="ar"/>
        </w:rPr>
      </w:pPr>
    </w:p>
    <w:p w14:paraId="723F3BBC">
      <w:pPr>
        <w:pStyle w:val="2"/>
        <w:bidi w:val="0"/>
        <w:rPr>
          <w:rFonts w:ascii="Arial" w:hAnsi="Arial"/>
          <w:color w:val="auto"/>
          <w:highlight w:val="none"/>
        </w:rPr>
      </w:pPr>
      <w:bookmarkStart w:id="19" w:name="_Toc27375"/>
      <w:bookmarkStart w:id="20" w:name="_Toc4488"/>
      <w:bookmarkStart w:id="21" w:name="_Toc24405"/>
      <w:bookmarkStart w:id="22" w:name="_Toc25735"/>
      <w:bookmarkStart w:id="23" w:name="_Toc4171"/>
      <w:bookmarkStart w:id="24" w:name="_Toc23543"/>
      <w:bookmarkStart w:id="25" w:name="_Toc28395"/>
      <w:bookmarkStart w:id="26" w:name="_Toc29881"/>
      <w:r>
        <w:rPr>
          <w:rFonts w:hint="eastAsia" w:ascii="Arial" w:hAnsi="Arial"/>
          <w:color w:val="auto"/>
          <w:highlight w:val="none"/>
        </w:rPr>
        <w:t>三</w:t>
      </w:r>
      <w:r>
        <w:rPr>
          <w:rFonts w:ascii="Arial" w:hAnsi="Arial"/>
          <w:color w:val="auto"/>
          <w:highlight w:val="none"/>
        </w:rPr>
        <w:t>、指标分析</w:t>
      </w:r>
      <w:bookmarkEnd w:id="19"/>
      <w:bookmarkEnd w:id="20"/>
      <w:bookmarkEnd w:id="21"/>
      <w:bookmarkEnd w:id="22"/>
      <w:bookmarkEnd w:id="23"/>
    </w:p>
    <w:bookmarkEnd w:id="24"/>
    <w:bookmarkEnd w:id="25"/>
    <w:bookmarkEnd w:id="26"/>
    <w:p w14:paraId="0E0A73A7">
      <w:pPr>
        <w:pStyle w:val="4"/>
        <w:bidi w:val="0"/>
        <w:rPr>
          <w:rFonts w:hint="default"/>
          <w:color w:val="auto"/>
          <w:highlight w:val="none"/>
          <w:lang w:val="en-US" w:eastAsia="zh-CN"/>
        </w:rPr>
      </w:pPr>
      <w:bookmarkStart w:id="27" w:name="_Toc16187"/>
      <w:bookmarkStart w:id="28" w:name="_Toc23990"/>
      <w:bookmarkStart w:id="29" w:name="_Toc11488"/>
      <w:bookmarkStart w:id="30" w:name="_Toc17562"/>
      <w:bookmarkStart w:id="31" w:name="_Toc9484"/>
      <w:bookmarkStart w:id="32" w:name="_Toc11814"/>
      <w:bookmarkStart w:id="33" w:name="_Toc9782"/>
      <w:bookmarkStart w:id="34" w:name="_Toc29120"/>
      <w:bookmarkStart w:id="35" w:name="_Toc3688"/>
      <w:r>
        <w:rPr>
          <w:rFonts w:hint="eastAsia"/>
          <w:color w:val="auto"/>
          <w:highlight w:val="none"/>
        </w:rPr>
        <w:t>（一）</w:t>
      </w:r>
      <w:bookmarkEnd w:id="27"/>
      <w:bookmarkEnd w:id="28"/>
      <w:bookmarkEnd w:id="29"/>
      <w:bookmarkEnd w:id="30"/>
      <w:bookmarkEnd w:id="31"/>
      <w:bookmarkEnd w:id="32"/>
      <w:r>
        <w:rPr>
          <w:rFonts w:hint="eastAsia"/>
          <w:color w:val="auto"/>
          <w:highlight w:val="none"/>
          <w:lang w:val="en-US" w:eastAsia="zh-CN"/>
        </w:rPr>
        <w:t>预算编制情况</w:t>
      </w:r>
      <w:bookmarkEnd w:id="33"/>
    </w:p>
    <w:p w14:paraId="1AF4F46A">
      <w:pPr>
        <w:pStyle w:val="5"/>
        <w:bidi w:val="0"/>
        <w:rPr>
          <w:rFonts w:hint="eastAsia"/>
          <w:color w:val="auto"/>
          <w:highlight w:val="none"/>
        </w:rPr>
      </w:pPr>
      <w:r>
        <w:rPr>
          <w:rFonts w:hint="eastAsia"/>
          <w:color w:val="auto"/>
          <w:highlight w:val="none"/>
          <w:lang w:val="en-US" w:eastAsia="zh-CN"/>
        </w:rPr>
        <w:t>1、</w:t>
      </w:r>
      <w:r>
        <w:rPr>
          <w:rFonts w:hint="eastAsia"/>
          <w:color w:val="auto"/>
          <w:highlight w:val="none"/>
        </w:rPr>
        <w:t>预算编制</w:t>
      </w:r>
    </w:p>
    <w:p w14:paraId="67DF0BCC">
      <w:pPr>
        <w:rPr>
          <w:rFonts w:hint="eastAsia"/>
          <w:color w:val="auto"/>
          <w:highlight w:val="none"/>
          <w:lang w:val="en-US" w:eastAsia="zh-CN"/>
        </w:rPr>
      </w:pPr>
      <w:r>
        <w:rPr>
          <w:rFonts w:hint="eastAsia"/>
          <w:color w:val="auto"/>
          <w:highlight w:val="none"/>
          <w:lang w:val="en-US" w:eastAsia="zh-CN"/>
        </w:rPr>
        <w:t>被评单位2022年度预算功能分类及经济分类准确，基本能按区级的预算编制部署进行预算编制工作，符合财政预算工作的相关要求。</w:t>
      </w:r>
      <w:r>
        <w:rPr>
          <w:rFonts w:hint="default"/>
          <w:color w:val="auto"/>
          <w:highlight w:val="none"/>
          <w:lang w:eastAsia="zh-CN"/>
        </w:rPr>
        <w:t>预算编制的规范性存在不足，</w:t>
      </w:r>
      <w:r>
        <w:rPr>
          <w:rFonts w:hint="eastAsia"/>
          <w:color w:val="auto"/>
          <w:highlight w:val="none"/>
          <w:lang w:val="en-US" w:eastAsia="zh-CN"/>
        </w:rPr>
        <w:t>部门整体年初预算数为</w:t>
      </w:r>
      <w:r>
        <w:rPr>
          <w:rFonts w:hint="default"/>
          <w:color w:val="auto"/>
          <w:highlight w:val="none"/>
          <w:lang w:eastAsia="zh-CN"/>
        </w:rPr>
        <w:t>18,808,262.46</w:t>
      </w:r>
      <w:r>
        <w:rPr>
          <w:rFonts w:hint="eastAsia"/>
          <w:color w:val="auto"/>
          <w:highlight w:val="none"/>
          <w:lang w:val="en-US" w:eastAsia="zh-CN"/>
        </w:rPr>
        <w:t>元，全年预算数为</w:t>
      </w:r>
      <w:r>
        <w:rPr>
          <w:rFonts w:hint="default"/>
          <w:color w:val="auto"/>
          <w:highlight w:val="none"/>
          <w:lang w:eastAsia="zh-CN"/>
        </w:rPr>
        <w:t>25,949,836.63</w:t>
      </w:r>
      <w:r>
        <w:rPr>
          <w:rFonts w:hint="eastAsia"/>
          <w:color w:val="auto"/>
          <w:highlight w:val="none"/>
          <w:lang w:val="en-US" w:eastAsia="zh-CN"/>
        </w:rPr>
        <w:t>元，存在约</w:t>
      </w:r>
      <w:r>
        <w:rPr>
          <w:rFonts w:hint="default"/>
          <w:color w:val="auto"/>
          <w:highlight w:val="none"/>
          <w:lang w:eastAsia="zh-CN"/>
        </w:rPr>
        <w:t>37.96%</w:t>
      </w:r>
      <w:r>
        <w:rPr>
          <w:rFonts w:hint="eastAsia"/>
          <w:color w:val="auto"/>
          <w:highlight w:val="none"/>
          <w:lang w:val="en-US" w:eastAsia="zh-CN"/>
        </w:rPr>
        <w:t>的调整幅度</w:t>
      </w:r>
      <w:r>
        <w:rPr>
          <w:rFonts w:hint="default"/>
          <w:color w:val="auto"/>
          <w:highlight w:val="none"/>
          <w:lang w:eastAsia="zh-CN"/>
        </w:rPr>
        <w:t>，全年调整幅度过大</w:t>
      </w:r>
      <w:r>
        <w:rPr>
          <w:rFonts w:hint="eastAsia"/>
          <w:color w:val="auto"/>
          <w:highlight w:val="none"/>
          <w:lang w:val="en-US" w:eastAsia="zh-CN"/>
        </w:rPr>
        <w:t>；部门2022年决算数为</w:t>
      </w:r>
      <w:r>
        <w:rPr>
          <w:rFonts w:hint="default"/>
          <w:color w:val="auto"/>
          <w:highlight w:val="none"/>
          <w:lang w:eastAsia="zh-CN"/>
        </w:rPr>
        <w:t>25,949,836.63</w:t>
      </w:r>
      <w:r>
        <w:rPr>
          <w:rFonts w:hint="eastAsia"/>
          <w:color w:val="auto"/>
          <w:highlight w:val="none"/>
          <w:lang w:val="en-US" w:eastAsia="zh-CN"/>
        </w:rPr>
        <w:t>元，</w:t>
      </w:r>
      <w:r>
        <w:rPr>
          <w:rFonts w:hint="default"/>
          <w:color w:val="auto"/>
          <w:highlight w:val="none"/>
          <w:lang w:val="en-US" w:eastAsia="zh-CN"/>
        </w:rPr>
        <w:t>根据财政拨款收入预决算差异率=（收入决算数-收入调整预算数）/收入调整预算数*100%（取绝对值）公式</w:t>
      </w:r>
      <w:r>
        <w:rPr>
          <w:rFonts w:hint="default"/>
          <w:color w:val="auto"/>
          <w:highlight w:val="none"/>
          <w:lang w:eastAsia="zh-CN"/>
        </w:rPr>
        <w:t>，部门</w:t>
      </w:r>
      <w:r>
        <w:rPr>
          <w:rFonts w:hint="eastAsia"/>
          <w:color w:val="auto"/>
          <w:highlight w:val="none"/>
          <w:lang w:val="en-US" w:eastAsia="zh-CN"/>
        </w:rPr>
        <w:t>财政拨款收入预决算差异率=0。</w:t>
      </w:r>
    </w:p>
    <w:p w14:paraId="4F70211A">
      <w:pPr>
        <w:rPr>
          <w:rFonts w:hint="default"/>
          <w:color w:val="auto"/>
          <w:highlight w:val="none"/>
          <w:lang w:eastAsia="zh-CN"/>
        </w:rPr>
      </w:pPr>
      <w:r>
        <w:rPr>
          <w:rFonts w:hint="default"/>
          <w:color w:val="auto"/>
          <w:highlight w:val="none"/>
          <w:lang w:eastAsia="zh-CN"/>
        </w:rPr>
        <w:t>年度决算与年初部门整体预算存在一定差异，</w:t>
      </w:r>
      <w:r>
        <w:rPr>
          <w:rFonts w:hint="eastAsia"/>
          <w:color w:val="auto"/>
          <w:highlight w:val="none"/>
          <w:lang w:val="en-US" w:eastAsia="zh-CN"/>
        </w:rPr>
        <w:t>相关的</w:t>
      </w:r>
      <w:r>
        <w:rPr>
          <w:rFonts w:hint="default"/>
          <w:color w:val="auto"/>
          <w:highlight w:val="none"/>
          <w:lang w:eastAsia="zh-CN"/>
        </w:rPr>
        <w:t>调整依据</w:t>
      </w:r>
      <w:r>
        <w:rPr>
          <w:rFonts w:hint="eastAsia"/>
          <w:color w:val="auto"/>
          <w:highlight w:val="none"/>
          <w:lang w:val="en-US" w:eastAsia="zh-CN"/>
        </w:rPr>
        <w:t>充分性不足</w:t>
      </w:r>
      <w:r>
        <w:rPr>
          <w:rFonts w:hint="default"/>
          <w:color w:val="auto"/>
          <w:highlight w:val="none"/>
          <w:lang w:eastAsia="zh-CN"/>
        </w:rPr>
        <w:t>，</w:t>
      </w:r>
      <w:r>
        <w:rPr>
          <w:rFonts w:hint="eastAsia"/>
          <w:color w:val="auto"/>
          <w:highlight w:val="none"/>
          <w:lang w:val="en-US" w:eastAsia="zh-CN"/>
        </w:rPr>
        <w:t>在预算调整方面严谨度欠佳</w:t>
      </w:r>
      <w:r>
        <w:rPr>
          <w:rFonts w:hint="default"/>
          <w:color w:val="auto"/>
          <w:highlight w:val="none"/>
          <w:lang w:eastAsia="zh-CN"/>
        </w:rPr>
        <w:t>。</w:t>
      </w:r>
    </w:p>
    <w:p w14:paraId="2C30F2EF">
      <w:pPr>
        <w:bidi w:val="0"/>
        <w:rPr>
          <w:rFonts w:hint="eastAsia"/>
          <w:color w:val="auto"/>
          <w:highlight w:val="none"/>
          <w:lang w:eastAsia="zh-CN"/>
        </w:rPr>
      </w:pPr>
      <w:r>
        <w:rPr>
          <w:rFonts w:hint="eastAsia"/>
          <w:color w:val="auto"/>
          <w:highlight w:val="none"/>
          <w:lang w:val="en-US" w:eastAsia="zh-CN"/>
        </w:rPr>
        <w:t>综上，预算编制得分</w:t>
      </w:r>
      <w:r>
        <w:rPr>
          <w:rFonts w:hint="default"/>
          <w:color w:val="auto"/>
          <w:highlight w:val="none"/>
          <w:lang w:eastAsia="zh-CN"/>
        </w:rPr>
        <w:t>7</w:t>
      </w:r>
      <w:r>
        <w:rPr>
          <w:rFonts w:hint="eastAsia"/>
          <w:color w:val="auto"/>
          <w:highlight w:val="none"/>
          <w:lang w:val="en-US" w:eastAsia="zh-CN"/>
        </w:rPr>
        <w:t>分，得分率</w:t>
      </w:r>
      <w:r>
        <w:rPr>
          <w:rFonts w:hint="default"/>
          <w:color w:val="auto"/>
          <w:highlight w:val="none"/>
          <w:lang w:eastAsia="zh-CN"/>
        </w:rPr>
        <w:t>70</w:t>
      </w:r>
      <w:r>
        <w:rPr>
          <w:rFonts w:hint="eastAsia"/>
          <w:color w:val="auto"/>
          <w:highlight w:val="none"/>
          <w:lang w:val="en-US" w:eastAsia="zh-CN"/>
        </w:rPr>
        <w:t>%</w:t>
      </w:r>
      <w:r>
        <w:rPr>
          <w:rFonts w:hint="default"/>
          <w:color w:val="auto"/>
          <w:highlight w:val="none"/>
          <w:lang w:eastAsia="zh-CN"/>
        </w:rPr>
        <w:t>。</w:t>
      </w:r>
    </w:p>
    <w:p w14:paraId="46E22650">
      <w:pPr>
        <w:bidi w:val="0"/>
        <w:rPr>
          <w:color w:val="auto"/>
          <w:highlight w:val="none"/>
        </w:rPr>
      </w:pPr>
    </w:p>
    <w:p w14:paraId="3515AEED">
      <w:pPr>
        <w:pStyle w:val="5"/>
        <w:bidi w:val="0"/>
        <w:rPr>
          <w:rFonts w:hint="eastAsia"/>
          <w:color w:val="auto"/>
          <w:highlight w:val="none"/>
          <w:lang w:eastAsia="zh-CN"/>
        </w:rPr>
      </w:pPr>
      <w:r>
        <w:rPr>
          <w:rFonts w:hint="eastAsia"/>
          <w:color w:val="auto"/>
          <w:highlight w:val="none"/>
          <w:lang w:val="en-US" w:eastAsia="zh-CN"/>
        </w:rPr>
        <w:t>2、</w:t>
      </w:r>
      <w:r>
        <w:rPr>
          <w:rFonts w:hint="eastAsia"/>
          <w:color w:val="auto"/>
          <w:highlight w:val="none"/>
        </w:rPr>
        <w:t>目标设置</w:t>
      </w:r>
    </w:p>
    <w:p w14:paraId="5EADD647">
      <w:pPr>
        <w:rPr>
          <w:rFonts w:hint="default"/>
          <w:color w:val="auto"/>
          <w:highlight w:val="none"/>
          <w:lang w:val="en-US" w:eastAsia="zh-CN"/>
        </w:rPr>
      </w:pPr>
      <w:r>
        <w:rPr>
          <w:rFonts w:hint="eastAsia"/>
          <w:color w:val="auto"/>
          <w:highlight w:val="none"/>
          <w:lang w:val="en-US" w:eastAsia="zh-CN"/>
        </w:rPr>
        <w:t>绩效目标合理性方面，根据被评单位的《部门整体支出绩效目标申报表》，其所设的整体目标能较好地体现</w:t>
      </w:r>
      <w:r>
        <w:rPr>
          <w:rFonts w:hint="default"/>
          <w:color w:val="auto"/>
          <w:highlight w:val="none"/>
          <w:lang w:eastAsia="zh-CN"/>
        </w:rPr>
        <w:t>“三定”方案规定的部门职能</w:t>
      </w:r>
      <w:r>
        <w:rPr>
          <w:rFonts w:hint="eastAsia"/>
          <w:color w:val="auto"/>
          <w:highlight w:val="none"/>
          <w:lang w:val="en-US" w:eastAsia="zh-CN"/>
        </w:rPr>
        <w:t>，基本与年度预算资金</w:t>
      </w:r>
      <w:r>
        <w:rPr>
          <w:rFonts w:hint="default"/>
          <w:color w:val="auto"/>
          <w:highlight w:val="none"/>
          <w:lang w:eastAsia="zh-CN"/>
        </w:rPr>
        <w:t>相</w:t>
      </w:r>
      <w:r>
        <w:rPr>
          <w:rFonts w:hint="eastAsia"/>
          <w:color w:val="auto"/>
          <w:highlight w:val="none"/>
          <w:lang w:val="en-US" w:eastAsia="zh-CN"/>
        </w:rPr>
        <w:t>匹配。</w:t>
      </w:r>
      <w:r>
        <w:rPr>
          <w:rFonts w:hint="default"/>
          <w:color w:val="auto"/>
          <w:highlight w:val="none"/>
          <w:lang w:eastAsia="zh-CN"/>
        </w:rPr>
        <w:t>但部门的</w:t>
      </w:r>
      <w:r>
        <w:rPr>
          <w:rFonts w:hint="eastAsia"/>
          <w:color w:val="auto"/>
          <w:highlight w:val="none"/>
          <w:lang w:val="en-US" w:eastAsia="zh-CN"/>
        </w:rPr>
        <w:t>整体目标设置并不全面，未能体现到</w:t>
      </w:r>
      <w:r>
        <w:rPr>
          <w:rFonts w:hint="default"/>
          <w:color w:val="auto"/>
          <w:highlight w:val="none"/>
          <w:lang w:eastAsia="zh-CN"/>
        </w:rPr>
        <w:t>年度重点任务</w:t>
      </w:r>
      <w:r>
        <w:rPr>
          <w:rFonts w:hint="eastAsia"/>
          <w:color w:val="auto"/>
          <w:highlight w:val="none"/>
          <w:lang w:val="en-US" w:eastAsia="zh-CN"/>
        </w:rPr>
        <w:t>中</w:t>
      </w:r>
      <w:r>
        <w:rPr>
          <w:rFonts w:hint="default"/>
          <w:color w:val="auto"/>
          <w:highlight w:val="none"/>
          <w:lang w:eastAsia="zh-CN"/>
        </w:rPr>
        <w:t>老旧小区改造、创文攻坚和乡村振兴民生实事</w:t>
      </w:r>
      <w:r>
        <w:rPr>
          <w:rFonts w:hint="eastAsia"/>
          <w:color w:val="auto"/>
          <w:highlight w:val="none"/>
          <w:lang w:val="en-US" w:eastAsia="zh-CN"/>
        </w:rPr>
        <w:t>等的内容；而涉及到跨年实施的项目，则</w:t>
      </w:r>
      <w:r>
        <w:rPr>
          <w:rFonts w:hint="default"/>
          <w:color w:val="auto"/>
          <w:highlight w:val="none"/>
          <w:lang w:eastAsia="zh-CN"/>
        </w:rPr>
        <w:t>未</w:t>
      </w:r>
      <w:r>
        <w:rPr>
          <w:rFonts w:hint="eastAsia"/>
          <w:color w:val="auto"/>
          <w:highlight w:val="none"/>
          <w:lang w:val="en-US" w:eastAsia="zh-CN"/>
        </w:rPr>
        <w:t>能作进一步拆分，也未能</w:t>
      </w:r>
      <w:r>
        <w:rPr>
          <w:rFonts w:hint="default"/>
          <w:color w:val="auto"/>
          <w:highlight w:val="none"/>
          <w:lang w:eastAsia="zh-CN"/>
        </w:rPr>
        <w:t>通过年度工作计划</w:t>
      </w:r>
      <w:r>
        <w:rPr>
          <w:rFonts w:hint="eastAsia"/>
          <w:color w:val="auto"/>
          <w:highlight w:val="none"/>
          <w:lang w:val="en-US" w:eastAsia="zh-CN"/>
        </w:rPr>
        <w:t>内容有所</w:t>
      </w:r>
      <w:r>
        <w:rPr>
          <w:rFonts w:hint="default"/>
          <w:color w:val="auto"/>
          <w:highlight w:val="none"/>
          <w:lang w:eastAsia="zh-CN"/>
        </w:rPr>
        <w:t>体现</w:t>
      </w:r>
      <w:r>
        <w:rPr>
          <w:rFonts w:hint="eastAsia"/>
          <w:color w:val="auto"/>
          <w:highlight w:val="none"/>
          <w:lang w:val="en-US" w:eastAsia="zh-CN"/>
        </w:rPr>
        <w:t>，</w:t>
      </w:r>
      <w:r>
        <w:rPr>
          <w:rFonts w:hint="default"/>
          <w:color w:val="auto"/>
          <w:highlight w:val="none"/>
          <w:lang w:eastAsia="zh-CN"/>
        </w:rPr>
        <w:t>整体目标分解性较差</w:t>
      </w:r>
      <w:r>
        <w:rPr>
          <w:rFonts w:hint="eastAsia"/>
          <w:color w:val="auto"/>
          <w:highlight w:val="none"/>
          <w:lang w:val="en-US" w:eastAsia="zh-CN"/>
        </w:rPr>
        <w:t>。而对于被评单位所申报的</w:t>
      </w:r>
      <w:r>
        <w:rPr>
          <w:rFonts w:hint="default"/>
          <w:color w:val="auto"/>
          <w:highlight w:val="none"/>
          <w:lang w:eastAsia="zh-CN"/>
        </w:rPr>
        <w:t>重点</w:t>
      </w:r>
      <w:r>
        <w:rPr>
          <w:rFonts w:hint="eastAsia"/>
          <w:color w:val="auto"/>
          <w:highlight w:val="none"/>
          <w:lang w:val="en-US" w:eastAsia="zh-CN"/>
        </w:rPr>
        <w:t>项目，则立项说明不充分，申报依据不完整（如月影塘项目造价约为529万，本年度却只安排了11.23万，被评单位也没有更多关于该项目的立项说明，阶段实施计划等信息）。</w:t>
      </w:r>
    </w:p>
    <w:p w14:paraId="09B56290">
      <w:pPr>
        <w:rPr>
          <w:rFonts w:hint="default"/>
          <w:color w:val="auto"/>
          <w:highlight w:val="none"/>
          <w:lang w:val="en-US" w:eastAsia="zh-CN"/>
        </w:rPr>
      </w:pPr>
      <w:r>
        <w:rPr>
          <w:rFonts w:hint="eastAsia"/>
          <w:color w:val="auto"/>
          <w:highlight w:val="none"/>
          <w:lang w:val="en-US" w:eastAsia="zh-CN"/>
        </w:rPr>
        <w:t>绩效指标明确性方面，根据目标申报表，</w:t>
      </w:r>
      <w:r>
        <w:rPr>
          <w:rFonts w:hint="default"/>
          <w:color w:val="auto"/>
          <w:highlight w:val="none"/>
          <w:lang w:eastAsia="zh-CN"/>
        </w:rPr>
        <w:t>西郊街道部门整体支出未制定个性化产出和效果指标，绩效目标、指标不够明确，未指定清晰、可衡量的量化考核指标。例如</w:t>
      </w:r>
      <w:r>
        <w:rPr>
          <w:rFonts w:hint="eastAsia"/>
          <w:color w:val="auto"/>
          <w:highlight w:val="none"/>
          <w:lang w:val="en-US" w:eastAsia="zh-CN"/>
        </w:rPr>
        <w:t>被评单位所设的</w:t>
      </w:r>
      <w:r>
        <w:rPr>
          <w:rFonts w:hint="default"/>
          <w:color w:val="auto"/>
          <w:highlight w:val="none"/>
          <w:lang w:eastAsia="zh-CN"/>
        </w:rPr>
        <w:t>效益指标中的三级指标服务对象反映良好，该项指标应进行具体的量化，设定具体的数值。部分二级指标下未设置三级指标，无法</w:t>
      </w:r>
      <w:r>
        <w:rPr>
          <w:rFonts w:hint="eastAsia"/>
          <w:color w:val="auto"/>
          <w:highlight w:val="none"/>
          <w:lang w:val="en-US" w:eastAsia="zh-CN"/>
        </w:rPr>
        <w:t>较为全面地对部门工作进行考核。</w:t>
      </w:r>
      <w:r>
        <w:rPr>
          <w:rFonts w:hint="default"/>
          <w:color w:val="auto"/>
          <w:highlight w:val="none"/>
          <w:lang w:eastAsia="zh-CN"/>
        </w:rPr>
        <w:t>效益</w:t>
      </w:r>
      <w:r>
        <w:rPr>
          <w:rFonts w:hint="eastAsia"/>
          <w:color w:val="auto"/>
          <w:highlight w:val="none"/>
          <w:lang w:val="en-US" w:eastAsia="zh-CN"/>
        </w:rPr>
        <w:t>指标设置的社会效益</w:t>
      </w:r>
      <w:r>
        <w:rPr>
          <w:rFonts w:hint="default"/>
          <w:color w:val="auto"/>
          <w:highlight w:val="none"/>
          <w:lang w:eastAsia="zh-CN"/>
        </w:rPr>
        <w:t>与下设的设计功能实现率关联性较差，无法通过该指标反映出社会效益。</w:t>
      </w:r>
    </w:p>
    <w:p w14:paraId="20C31739">
      <w:pPr>
        <w:rPr>
          <w:rFonts w:hint="default" w:eastAsia="仿宋_GB2312"/>
          <w:color w:val="auto"/>
          <w:highlight w:val="none"/>
          <w:lang w:eastAsia="zh-CN"/>
        </w:rPr>
      </w:pPr>
      <w:r>
        <w:rPr>
          <w:rFonts w:hint="eastAsia"/>
          <w:color w:val="auto"/>
          <w:highlight w:val="none"/>
          <w:lang w:val="en-US" w:eastAsia="zh-CN"/>
        </w:rPr>
        <w:t>综上，目标设置得分</w:t>
      </w:r>
      <w:r>
        <w:rPr>
          <w:rFonts w:hint="default"/>
          <w:color w:val="auto"/>
          <w:highlight w:val="none"/>
          <w:lang w:eastAsia="zh-CN"/>
        </w:rPr>
        <w:t>5</w:t>
      </w:r>
      <w:r>
        <w:rPr>
          <w:rFonts w:hint="eastAsia"/>
          <w:color w:val="auto"/>
          <w:highlight w:val="none"/>
          <w:lang w:val="en-US" w:eastAsia="zh-CN"/>
        </w:rPr>
        <w:t>分，得分率</w:t>
      </w:r>
      <w:r>
        <w:rPr>
          <w:rFonts w:hint="default"/>
          <w:color w:val="auto"/>
          <w:highlight w:val="none"/>
          <w:lang w:eastAsia="zh-CN"/>
        </w:rPr>
        <w:t>55.55</w:t>
      </w:r>
      <w:r>
        <w:rPr>
          <w:rFonts w:hint="eastAsia"/>
          <w:color w:val="auto"/>
          <w:highlight w:val="none"/>
          <w:lang w:val="en-US" w:eastAsia="zh-CN"/>
        </w:rPr>
        <w:t>%</w:t>
      </w:r>
      <w:r>
        <w:rPr>
          <w:rFonts w:hint="default"/>
          <w:color w:val="auto"/>
          <w:highlight w:val="none"/>
          <w:lang w:eastAsia="zh-CN"/>
        </w:rPr>
        <w:t>。</w:t>
      </w:r>
    </w:p>
    <w:p w14:paraId="1EDB69B9">
      <w:pPr>
        <w:bidi w:val="0"/>
        <w:rPr>
          <w:color w:val="auto"/>
          <w:highlight w:val="none"/>
        </w:rPr>
      </w:pPr>
    </w:p>
    <w:bookmarkEnd w:id="34"/>
    <w:bookmarkEnd w:id="35"/>
    <w:p w14:paraId="28A45CA1">
      <w:pPr>
        <w:pStyle w:val="4"/>
        <w:bidi w:val="0"/>
        <w:rPr>
          <w:rFonts w:hint="default"/>
          <w:color w:val="auto"/>
          <w:highlight w:val="none"/>
          <w:lang w:val="en-US" w:eastAsia="zh-CN"/>
        </w:rPr>
      </w:pPr>
      <w:bookmarkStart w:id="36" w:name="_Toc20834"/>
      <w:bookmarkStart w:id="37" w:name="_Toc15711"/>
      <w:bookmarkStart w:id="38" w:name="_Toc21822"/>
      <w:r>
        <w:rPr>
          <w:rFonts w:hint="eastAsia"/>
          <w:color w:val="auto"/>
          <w:highlight w:val="none"/>
        </w:rPr>
        <w:t>（二）</w:t>
      </w:r>
      <w:bookmarkEnd w:id="0"/>
      <w:bookmarkEnd w:id="1"/>
      <w:bookmarkEnd w:id="36"/>
      <w:bookmarkEnd w:id="37"/>
      <w:bookmarkStart w:id="39" w:name="_Toc20963"/>
      <w:bookmarkStart w:id="40" w:name="_Toc18451"/>
      <w:r>
        <w:rPr>
          <w:rFonts w:hint="eastAsia"/>
          <w:color w:val="auto"/>
          <w:highlight w:val="none"/>
          <w:lang w:val="en-US" w:eastAsia="zh-CN"/>
        </w:rPr>
        <w:t>预算执行情况</w:t>
      </w:r>
      <w:bookmarkEnd w:id="38"/>
    </w:p>
    <w:p w14:paraId="3AC73996">
      <w:pPr>
        <w:pStyle w:val="5"/>
        <w:bidi w:val="0"/>
        <w:rPr>
          <w:rFonts w:hint="eastAsia"/>
          <w:color w:val="auto"/>
          <w:highlight w:val="none"/>
        </w:rPr>
      </w:pPr>
      <w:r>
        <w:rPr>
          <w:rFonts w:hint="eastAsia"/>
          <w:color w:val="auto"/>
          <w:highlight w:val="none"/>
          <w:lang w:val="en-US" w:eastAsia="zh-CN"/>
        </w:rPr>
        <w:t>1、</w:t>
      </w:r>
      <w:r>
        <w:rPr>
          <w:rFonts w:hint="eastAsia"/>
          <w:color w:val="auto"/>
          <w:highlight w:val="none"/>
        </w:rPr>
        <w:t>资金管理</w:t>
      </w:r>
    </w:p>
    <w:p w14:paraId="771F825E">
      <w:pPr>
        <w:rPr>
          <w:rFonts w:hint="eastAsia" w:eastAsia="仿宋_GB2312"/>
          <w:color w:val="auto"/>
          <w:highlight w:val="none"/>
          <w:lang w:eastAsia="zh-CN"/>
        </w:rPr>
      </w:pPr>
      <w:r>
        <w:rPr>
          <w:rFonts w:hint="eastAsia" w:ascii="Calibri" w:hAnsi="Calibri" w:eastAsia="仿宋_GB2312" w:cs="Calibri"/>
          <w:color w:val="auto"/>
          <w:sz w:val="32"/>
          <w:szCs w:val="20"/>
          <w:highlight w:val="none"/>
        </w:rPr>
        <w:t>根据20</w:t>
      </w:r>
      <w:r>
        <w:rPr>
          <w:rFonts w:hint="eastAsia" w:ascii="Calibri" w:hAnsi="Calibri" w:eastAsia="仿宋_GB2312" w:cs="Calibri"/>
          <w:color w:val="auto"/>
          <w:sz w:val="32"/>
          <w:szCs w:val="20"/>
          <w:highlight w:val="none"/>
          <w:lang w:val="en-US" w:eastAsia="zh-CN"/>
        </w:rPr>
        <w:t>22</w:t>
      </w:r>
      <w:r>
        <w:rPr>
          <w:rFonts w:hint="eastAsia" w:ascii="Calibri" w:hAnsi="Calibri" w:eastAsia="仿宋_GB2312" w:cs="Calibri"/>
          <w:color w:val="auto"/>
          <w:sz w:val="32"/>
          <w:szCs w:val="20"/>
          <w:highlight w:val="none"/>
        </w:rPr>
        <w:t>年部门决算报表（财政拨款收入支出决算总表），年末财政拨款结转和结余决算数为</w:t>
      </w:r>
      <w:r>
        <w:rPr>
          <w:rFonts w:hint="eastAsia" w:ascii="Calibri" w:hAnsi="Calibri" w:eastAsia="仿宋_GB2312" w:cs="Calibri"/>
          <w:color w:val="auto"/>
          <w:sz w:val="32"/>
          <w:szCs w:val="20"/>
          <w:highlight w:val="none"/>
          <w:lang w:val="en-US" w:eastAsia="zh-CN"/>
        </w:rPr>
        <w:t>0</w:t>
      </w:r>
      <w:r>
        <w:rPr>
          <w:rFonts w:hint="eastAsia" w:ascii="Calibri" w:hAnsi="Calibri" w:eastAsia="仿宋_GB2312" w:cs="Calibri"/>
          <w:color w:val="auto"/>
          <w:sz w:val="32"/>
          <w:szCs w:val="20"/>
          <w:highlight w:val="none"/>
        </w:rPr>
        <w:t>万元，年初财政拨款结转和结余收入决算数为</w:t>
      </w:r>
      <w:r>
        <w:rPr>
          <w:rFonts w:hint="eastAsia" w:ascii="Calibri" w:hAnsi="Calibri" w:eastAsia="仿宋_GB2312" w:cs="Calibri"/>
          <w:color w:val="auto"/>
          <w:sz w:val="32"/>
          <w:szCs w:val="20"/>
          <w:highlight w:val="none"/>
          <w:lang w:val="en-US" w:eastAsia="zh-CN"/>
        </w:rPr>
        <w:t>0</w:t>
      </w:r>
      <w:r>
        <w:rPr>
          <w:rFonts w:hint="eastAsia" w:ascii="Calibri" w:hAnsi="Calibri" w:eastAsia="仿宋_GB2312" w:cs="Calibri"/>
          <w:color w:val="auto"/>
          <w:sz w:val="32"/>
          <w:szCs w:val="20"/>
          <w:highlight w:val="none"/>
        </w:rPr>
        <w:t>万元，一般公共预算财政拨款决算数为</w:t>
      </w:r>
      <w:r>
        <w:rPr>
          <w:rFonts w:hint="default"/>
          <w:color w:val="auto"/>
          <w:highlight w:val="none"/>
          <w:lang w:eastAsia="zh-CN"/>
        </w:rPr>
        <w:t>2,594.98</w:t>
      </w:r>
      <w:r>
        <w:rPr>
          <w:rFonts w:hint="eastAsia" w:ascii="Calibri" w:hAnsi="Calibri" w:eastAsia="仿宋_GB2312" w:cs="Calibri"/>
          <w:color w:val="auto"/>
          <w:sz w:val="32"/>
          <w:szCs w:val="20"/>
          <w:highlight w:val="none"/>
        </w:rPr>
        <w:t>万元</w:t>
      </w:r>
      <w:r>
        <w:rPr>
          <w:rFonts w:hint="default" w:ascii="Calibri" w:hAnsi="Calibri" w:eastAsia="仿宋_GB2312" w:cs="Calibri"/>
          <w:color w:val="auto"/>
          <w:sz w:val="32"/>
          <w:szCs w:val="20"/>
          <w:highlight w:val="none"/>
        </w:rPr>
        <w:t>，</w:t>
      </w:r>
      <w:r>
        <w:rPr>
          <w:rFonts w:hint="eastAsia" w:ascii="Calibri" w:hAnsi="Calibri" w:eastAsia="仿宋_GB2312" w:cs="Calibri"/>
          <w:color w:val="auto"/>
          <w:sz w:val="32"/>
          <w:szCs w:val="20"/>
          <w:highlight w:val="none"/>
        </w:rPr>
        <w:t>依据公式</w:t>
      </w:r>
      <w:r>
        <w:rPr>
          <w:rFonts w:hint="eastAsia" w:ascii="Calibri" w:hAnsi="Calibri" w:eastAsia="仿宋_GB2312" w:cs="Calibri"/>
          <w:color w:val="auto"/>
          <w:sz w:val="32"/>
          <w:szCs w:val="20"/>
          <w:highlight w:val="none"/>
          <w:lang w:eastAsia="zh-CN"/>
        </w:rPr>
        <w:t>：</w:t>
      </w:r>
      <w:r>
        <w:rPr>
          <w:rFonts w:hint="eastAsia" w:ascii="Calibri" w:hAnsi="Calibri" w:eastAsia="仿宋_GB2312" w:cs="Calibri"/>
          <w:color w:val="auto"/>
          <w:sz w:val="32"/>
          <w:szCs w:val="20"/>
          <w:highlight w:val="none"/>
        </w:rPr>
        <w:t>年末财政拨款结转和结余决算数/（年初财政拨款结转和结余收入决算数+一般公共预算财政拨款决算数+政府性基金预算财政拨款决算数）×100%计算得结转结余率为0%</w:t>
      </w:r>
      <w:r>
        <w:rPr>
          <w:rFonts w:hint="eastAsia" w:ascii="Calibri" w:hAnsi="Calibri" w:eastAsia="仿宋_GB2312" w:cs="Calibri"/>
          <w:color w:val="auto"/>
          <w:sz w:val="32"/>
          <w:szCs w:val="20"/>
          <w:highlight w:val="none"/>
          <w:lang w:eastAsia="zh-CN"/>
        </w:rPr>
        <w:t>。</w:t>
      </w:r>
    </w:p>
    <w:p w14:paraId="2DA90217">
      <w:pPr>
        <w:rPr>
          <w:rFonts w:hint="default"/>
          <w:color w:val="auto"/>
          <w:highlight w:val="none"/>
          <w:lang w:val="en-US" w:eastAsia="zh-CN"/>
        </w:rPr>
      </w:pPr>
      <w:r>
        <w:rPr>
          <w:rFonts w:hint="eastAsia" w:ascii="Calibri" w:hAnsi="Calibri" w:eastAsia="仿宋_GB2312" w:cs="Calibri"/>
          <w:color w:val="auto"/>
          <w:sz w:val="32"/>
          <w:szCs w:val="20"/>
          <w:highlight w:val="none"/>
        </w:rPr>
        <w:t>根据区财政</w:t>
      </w:r>
      <w:r>
        <w:rPr>
          <w:rFonts w:hint="eastAsia" w:ascii="Calibri" w:hAnsi="Calibri" w:eastAsia="仿宋_GB2312" w:cs="Calibri"/>
          <w:color w:val="auto"/>
          <w:sz w:val="32"/>
          <w:szCs w:val="20"/>
          <w:highlight w:val="none"/>
          <w:lang w:val="en-US" w:eastAsia="zh-CN"/>
        </w:rPr>
        <w:t>局</w:t>
      </w:r>
      <w:r>
        <w:rPr>
          <w:rFonts w:hint="eastAsia" w:ascii="Calibri" w:hAnsi="Calibri" w:eastAsia="仿宋_GB2312" w:cs="Calibri"/>
          <w:color w:val="auto"/>
          <w:sz w:val="32"/>
          <w:szCs w:val="20"/>
          <w:highlight w:val="none"/>
          <w:lang w:eastAsia="zh-CN"/>
        </w:rPr>
        <w:t>《</w:t>
      </w:r>
      <w:r>
        <w:rPr>
          <w:rFonts w:hint="eastAsia" w:ascii="Calibri" w:hAnsi="Calibri" w:eastAsia="仿宋_GB2312" w:cs="Calibri"/>
          <w:color w:val="auto"/>
          <w:sz w:val="32"/>
          <w:szCs w:val="20"/>
          <w:highlight w:val="none"/>
        </w:rPr>
        <w:t>广东省预算管理一体化建设情况通报表</w:t>
      </w:r>
      <w:r>
        <w:rPr>
          <w:rFonts w:hint="eastAsia" w:ascii="Calibri" w:hAnsi="Calibri" w:eastAsia="仿宋_GB2312" w:cs="Calibri"/>
          <w:color w:val="auto"/>
          <w:sz w:val="32"/>
          <w:szCs w:val="20"/>
          <w:highlight w:val="none"/>
          <w:lang w:eastAsia="zh-CN"/>
        </w:rPr>
        <w:t>》，</w:t>
      </w:r>
      <w:r>
        <w:rPr>
          <w:rFonts w:hint="default" w:ascii="Calibri" w:hAnsi="Calibri" w:eastAsia="仿宋_GB2312" w:cs="Calibri"/>
          <w:color w:val="auto"/>
          <w:sz w:val="32"/>
          <w:szCs w:val="20"/>
          <w:highlight w:val="none"/>
          <w:lang w:eastAsia="zh-CN"/>
        </w:rPr>
        <w:t>西郊街道</w:t>
      </w:r>
      <w:r>
        <w:rPr>
          <w:rFonts w:hint="eastAsia" w:ascii="Calibri" w:hAnsi="Calibri" w:eastAsia="仿宋_GB2312" w:cs="Calibri"/>
          <w:color w:val="auto"/>
          <w:sz w:val="32"/>
          <w:szCs w:val="20"/>
          <w:highlight w:val="none"/>
        </w:rPr>
        <w:t>能同时满足已开通账套进行核算，数据已挂接国库业务单位，期初借贷平衡、财务负责人准确，偏离度</w:t>
      </w:r>
      <w:r>
        <w:rPr>
          <w:rFonts w:hint="default" w:ascii="Calibri" w:hAnsi="Calibri" w:eastAsia="仿宋_GB2312" w:cs="Calibri"/>
          <w:color w:val="auto"/>
          <w:sz w:val="32"/>
          <w:szCs w:val="20"/>
          <w:highlight w:val="none"/>
        </w:rPr>
        <w:t>为-2.63，</w:t>
      </w:r>
      <w:r>
        <w:rPr>
          <w:rFonts w:hint="eastAsia" w:ascii="Calibri" w:hAnsi="Calibri" w:eastAsia="仿宋_GB2312" w:cs="Calibri"/>
          <w:color w:val="auto"/>
          <w:sz w:val="32"/>
          <w:szCs w:val="20"/>
          <w:highlight w:val="none"/>
        </w:rPr>
        <w:t>每月合格</w:t>
      </w:r>
      <w:r>
        <w:rPr>
          <w:rFonts w:hint="eastAsia" w:ascii="Calibri" w:hAnsi="Calibri" w:eastAsia="仿宋_GB2312" w:cs="Calibri"/>
          <w:color w:val="auto"/>
          <w:sz w:val="32"/>
          <w:szCs w:val="20"/>
          <w:highlight w:val="none"/>
          <w:lang w:eastAsia="zh-CN"/>
        </w:rPr>
        <w:t>。财务工作较规范，制订本单位内部的预算执行办法与财政专项资金管理办法，并按相关制度及费用标准支出，能对部门预算与专项资金设置专帐核算，资金收支情况体现清晰。</w:t>
      </w:r>
      <w:r>
        <w:rPr>
          <w:rFonts w:hint="default"/>
          <w:color w:val="auto"/>
          <w:highlight w:val="none"/>
        </w:rPr>
        <w:t>但</w:t>
      </w:r>
      <w:r>
        <w:rPr>
          <w:rFonts w:hint="eastAsia"/>
          <w:color w:val="auto"/>
          <w:highlight w:val="none"/>
        </w:rPr>
        <w:t>往来账未建立清单台账，未能提供往来明细清单，存在历史遗留问题，债权人已破产，形成事实上坏账，</w:t>
      </w:r>
      <w:r>
        <w:rPr>
          <w:rFonts w:hint="default"/>
          <w:color w:val="auto"/>
          <w:highlight w:val="none"/>
          <w:lang w:eastAsia="zh-CN"/>
        </w:rPr>
        <w:t>并未能针对该部分坏账有明确和及时的处理办法。</w:t>
      </w:r>
      <w:r>
        <w:rPr>
          <w:rFonts w:hint="eastAsia"/>
          <w:color w:val="auto"/>
          <w:highlight w:val="none"/>
          <w:lang w:val="en-US" w:eastAsia="zh-CN"/>
        </w:rPr>
        <w:t>未能在</w:t>
      </w:r>
      <w:r>
        <w:rPr>
          <w:rFonts w:hint="default"/>
          <w:color w:val="auto"/>
          <w:highlight w:val="none"/>
          <w:lang w:eastAsia="zh-CN"/>
        </w:rPr>
        <w:t>会计记账中</w:t>
      </w:r>
      <w:r>
        <w:rPr>
          <w:rFonts w:hint="eastAsia"/>
          <w:color w:val="auto"/>
          <w:highlight w:val="none"/>
          <w:lang w:val="en-US" w:eastAsia="zh-CN"/>
        </w:rPr>
        <w:t>反映</w:t>
      </w:r>
      <w:r>
        <w:rPr>
          <w:rFonts w:hint="default"/>
          <w:color w:val="auto"/>
          <w:highlight w:val="none"/>
          <w:lang w:eastAsia="zh-CN"/>
        </w:rPr>
        <w:t>预算</w:t>
      </w:r>
      <w:r>
        <w:rPr>
          <w:rFonts w:hint="eastAsia"/>
          <w:color w:val="auto"/>
          <w:highlight w:val="none"/>
          <w:lang w:val="en-US" w:eastAsia="zh-CN"/>
        </w:rPr>
        <w:t>调整情况。</w:t>
      </w:r>
    </w:p>
    <w:p w14:paraId="2DE5A382">
      <w:pPr>
        <w:rPr>
          <w:rFonts w:hint="default"/>
          <w:color w:val="auto"/>
          <w:highlight w:val="none"/>
          <w:lang w:eastAsia="zh-CN"/>
        </w:rPr>
      </w:pPr>
      <w:r>
        <w:rPr>
          <w:rFonts w:hint="eastAsia"/>
          <w:color w:val="auto"/>
          <w:highlight w:val="none"/>
        </w:rPr>
        <w:t>财务管理合规性</w:t>
      </w:r>
      <w:r>
        <w:rPr>
          <w:rFonts w:hint="eastAsia"/>
          <w:color w:val="auto"/>
          <w:highlight w:val="none"/>
          <w:lang w:val="en-US" w:eastAsia="zh-CN"/>
        </w:rPr>
        <w:t>方面，被评单位在2022</w:t>
      </w:r>
      <w:r>
        <w:rPr>
          <w:rFonts w:hint="default"/>
          <w:color w:val="auto"/>
          <w:highlight w:val="none"/>
          <w:lang w:eastAsia="zh-CN"/>
        </w:rPr>
        <w:t>年度未受到区委巡察工作，未收到整改的反馈意见。</w:t>
      </w:r>
    </w:p>
    <w:p w14:paraId="21C62C9E">
      <w:pPr>
        <w:rPr>
          <w:rFonts w:hint="eastAsia" w:eastAsia="仿宋_GB2312"/>
          <w:color w:val="auto"/>
          <w:highlight w:val="none"/>
          <w:lang w:eastAsia="zh-CN"/>
        </w:rPr>
      </w:pPr>
      <w:r>
        <w:rPr>
          <w:rFonts w:hint="eastAsia"/>
          <w:color w:val="auto"/>
          <w:highlight w:val="none"/>
        </w:rPr>
        <w:t>综上，</w:t>
      </w:r>
      <w:r>
        <w:rPr>
          <w:rFonts w:hint="eastAsia"/>
          <w:color w:val="auto"/>
          <w:highlight w:val="none"/>
          <w:lang w:val="en-US" w:eastAsia="zh-CN"/>
        </w:rPr>
        <w:t>资金管理得分为</w:t>
      </w:r>
      <w:r>
        <w:rPr>
          <w:rFonts w:hint="default"/>
          <w:color w:val="auto"/>
          <w:highlight w:val="none"/>
          <w:lang w:eastAsia="zh-CN"/>
        </w:rPr>
        <w:t>12.5</w:t>
      </w:r>
      <w:r>
        <w:rPr>
          <w:rFonts w:hint="eastAsia"/>
          <w:color w:val="auto"/>
          <w:highlight w:val="none"/>
        </w:rPr>
        <w:t>分，得分率为</w:t>
      </w:r>
      <w:r>
        <w:rPr>
          <w:rFonts w:hint="default"/>
          <w:color w:val="auto"/>
          <w:highlight w:val="none"/>
        </w:rPr>
        <w:t>89.29</w:t>
      </w:r>
      <w:r>
        <w:rPr>
          <w:rFonts w:hint="eastAsia"/>
          <w:color w:val="auto"/>
          <w:highlight w:val="none"/>
        </w:rPr>
        <w:t>%。</w:t>
      </w:r>
    </w:p>
    <w:p w14:paraId="3EF6F28E">
      <w:pPr>
        <w:rPr>
          <w:rFonts w:hint="eastAsia"/>
          <w:color w:val="auto"/>
          <w:highlight w:val="none"/>
        </w:rPr>
      </w:pPr>
    </w:p>
    <w:p w14:paraId="7516E1B2">
      <w:pPr>
        <w:pStyle w:val="5"/>
        <w:bidi w:val="0"/>
        <w:rPr>
          <w:rFonts w:hint="eastAsia"/>
          <w:color w:val="auto"/>
          <w:highlight w:val="none"/>
        </w:rPr>
      </w:pPr>
      <w:r>
        <w:rPr>
          <w:rFonts w:hint="eastAsia"/>
          <w:color w:val="auto"/>
          <w:highlight w:val="none"/>
          <w:lang w:val="en-US" w:eastAsia="zh-CN"/>
        </w:rPr>
        <w:t>2、</w:t>
      </w:r>
      <w:r>
        <w:rPr>
          <w:rFonts w:hint="eastAsia"/>
          <w:color w:val="auto"/>
          <w:highlight w:val="none"/>
        </w:rPr>
        <w:t>信息公开</w:t>
      </w:r>
    </w:p>
    <w:p w14:paraId="63282CB9">
      <w:pPr>
        <w:rPr>
          <w:rFonts w:hint="default"/>
          <w:color w:val="auto"/>
          <w:highlight w:val="none"/>
          <w:lang w:eastAsia="zh-CN"/>
        </w:rPr>
      </w:pPr>
      <w:r>
        <w:rPr>
          <w:rFonts w:hint="eastAsia" w:ascii="Calibri" w:hAnsi="Calibri" w:eastAsia="仿宋_GB2312" w:cs="Calibri"/>
          <w:color w:val="auto"/>
          <w:sz w:val="32"/>
          <w:szCs w:val="20"/>
          <w:highlight w:val="none"/>
        </w:rPr>
        <w:t>通过审核</w:t>
      </w:r>
      <w:r>
        <w:rPr>
          <w:rFonts w:hint="default" w:ascii="Calibri" w:hAnsi="Calibri" w:eastAsia="仿宋_GB2312" w:cs="Calibri"/>
          <w:color w:val="auto"/>
          <w:sz w:val="32"/>
          <w:szCs w:val="20"/>
          <w:highlight w:val="none"/>
        </w:rPr>
        <w:t>西郊街道</w:t>
      </w:r>
      <w:r>
        <w:rPr>
          <w:rFonts w:hint="eastAsia" w:ascii="Calibri" w:hAnsi="Calibri" w:eastAsia="仿宋_GB2312" w:cs="Calibri"/>
          <w:color w:val="auto"/>
          <w:sz w:val="32"/>
          <w:szCs w:val="20"/>
          <w:highlight w:val="none"/>
        </w:rPr>
        <w:t>的预算公开情况，评价小组认为，</w:t>
      </w:r>
      <w:r>
        <w:rPr>
          <w:rFonts w:hint="default" w:ascii="Calibri" w:hAnsi="Calibri" w:eastAsia="仿宋_GB2312" w:cs="Calibri"/>
          <w:color w:val="auto"/>
          <w:sz w:val="32"/>
          <w:szCs w:val="20"/>
          <w:highlight w:val="none"/>
        </w:rPr>
        <w:t>西郊街道</w:t>
      </w:r>
      <w:r>
        <w:rPr>
          <w:rFonts w:hint="eastAsia" w:ascii="Calibri" w:hAnsi="Calibri" w:eastAsia="仿宋_GB2312" w:cs="Calibri"/>
          <w:color w:val="auto"/>
          <w:sz w:val="32"/>
          <w:szCs w:val="20"/>
          <w:highlight w:val="none"/>
        </w:rPr>
        <w:t>20</w:t>
      </w:r>
      <w:r>
        <w:rPr>
          <w:rFonts w:hint="eastAsia" w:ascii="Calibri" w:hAnsi="Calibri" w:eastAsia="仿宋_GB2312" w:cs="Calibri"/>
          <w:color w:val="auto"/>
          <w:sz w:val="32"/>
          <w:szCs w:val="20"/>
          <w:highlight w:val="none"/>
          <w:lang w:val="en-US" w:eastAsia="zh-CN"/>
        </w:rPr>
        <w:t>22</w:t>
      </w:r>
      <w:r>
        <w:rPr>
          <w:rFonts w:hint="eastAsia" w:ascii="Calibri" w:hAnsi="Calibri" w:eastAsia="仿宋_GB2312" w:cs="Calibri"/>
          <w:color w:val="auto"/>
          <w:sz w:val="32"/>
          <w:szCs w:val="20"/>
          <w:highlight w:val="none"/>
        </w:rPr>
        <w:t>年部门预算公开较为全面，大部分内容上能满足广东省预算公开的有关要求。具体包括：一是能在门户网站公开，并永久保留。二是使用模板公开，公开内容包括了报表与情况说明，符合预算公开有关要求。三是公开内容较完整。</w:t>
      </w:r>
      <w:r>
        <w:rPr>
          <w:rFonts w:hint="default" w:ascii="Calibri" w:hAnsi="Calibri" w:eastAsia="仿宋_GB2312" w:cs="Calibri"/>
          <w:color w:val="auto"/>
          <w:sz w:val="32"/>
          <w:szCs w:val="20"/>
          <w:highlight w:val="none"/>
        </w:rPr>
        <w:t>但</w:t>
      </w:r>
      <w:r>
        <w:rPr>
          <w:rFonts w:hint="default"/>
          <w:color w:val="auto"/>
          <w:highlight w:val="none"/>
          <w:lang w:eastAsia="zh-CN"/>
        </w:rPr>
        <w:t>仅公开了绩效自评资料未见公开绩效目标。</w:t>
      </w:r>
    </w:p>
    <w:p w14:paraId="0EC41E71">
      <w:pPr>
        <w:rPr>
          <w:rFonts w:hint="default"/>
          <w:color w:val="auto"/>
          <w:highlight w:val="none"/>
          <w:lang w:eastAsia="zh-CN"/>
        </w:rPr>
      </w:pPr>
      <w:r>
        <w:rPr>
          <w:rFonts w:hint="eastAsia"/>
          <w:color w:val="auto"/>
          <w:highlight w:val="none"/>
          <w:lang w:eastAsia="zh-CN"/>
        </w:rPr>
        <w:t>综上，</w:t>
      </w:r>
      <w:r>
        <w:rPr>
          <w:rFonts w:hint="eastAsia"/>
          <w:color w:val="auto"/>
          <w:highlight w:val="none"/>
          <w:lang w:val="en-US" w:eastAsia="zh-CN"/>
        </w:rPr>
        <w:t>信息公开得分为</w:t>
      </w:r>
      <w:r>
        <w:rPr>
          <w:rFonts w:hint="default"/>
          <w:color w:val="auto"/>
          <w:highlight w:val="none"/>
          <w:lang w:eastAsia="zh-CN"/>
        </w:rPr>
        <w:t>3</w:t>
      </w:r>
      <w:r>
        <w:rPr>
          <w:rFonts w:hint="eastAsia"/>
          <w:color w:val="auto"/>
          <w:highlight w:val="none"/>
          <w:lang w:eastAsia="zh-CN"/>
        </w:rPr>
        <w:t>分，得分率为</w:t>
      </w:r>
      <w:r>
        <w:rPr>
          <w:rFonts w:hint="default"/>
          <w:color w:val="auto"/>
          <w:highlight w:val="none"/>
          <w:lang w:eastAsia="zh-CN"/>
        </w:rPr>
        <w:t>75</w:t>
      </w:r>
      <w:r>
        <w:rPr>
          <w:rFonts w:hint="eastAsia"/>
          <w:color w:val="auto"/>
          <w:highlight w:val="none"/>
          <w:lang w:eastAsia="zh-CN"/>
        </w:rPr>
        <w:t>%。</w:t>
      </w:r>
    </w:p>
    <w:p w14:paraId="6A74352E">
      <w:pPr>
        <w:rPr>
          <w:rFonts w:hint="default"/>
          <w:color w:val="auto"/>
          <w:highlight w:val="none"/>
          <w:lang w:eastAsia="zh-CN"/>
        </w:rPr>
      </w:pPr>
    </w:p>
    <w:p w14:paraId="41CA89C7">
      <w:pPr>
        <w:pStyle w:val="5"/>
        <w:bidi w:val="0"/>
        <w:rPr>
          <w:rFonts w:hint="eastAsia"/>
          <w:color w:val="auto"/>
          <w:highlight w:val="none"/>
        </w:rPr>
      </w:pPr>
      <w:r>
        <w:rPr>
          <w:rFonts w:hint="eastAsia"/>
          <w:color w:val="auto"/>
          <w:highlight w:val="none"/>
          <w:lang w:val="en-US" w:eastAsia="zh-CN"/>
        </w:rPr>
        <w:t>3、</w:t>
      </w:r>
      <w:r>
        <w:rPr>
          <w:rFonts w:hint="eastAsia"/>
          <w:color w:val="auto"/>
          <w:highlight w:val="none"/>
        </w:rPr>
        <w:t>采购管理</w:t>
      </w:r>
    </w:p>
    <w:p w14:paraId="13A1F6B5">
      <w:pPr>
        <w:rPr>
          <w:rFonts w:hint="default"/>
          <w:color w:val="auto"/>
          <w:highlight w:val="none"/>
          <w:lang w:val="en-US" w:eastAsia="zh-CN"/>
        </w:rPr>
      </w:pPr>
      <w:r>
        <w:rPr>
          <w:rFonts w:hint="eastAsia"/>
          <w:color w:val="auto"/>
          <w:highlight w:val="none"/>
          <w:lang w:val="en-US" w:eastAsia="zh-CN"/>
        </w:rPr>
        <w:t>2022年度，被评单位实际政府采购金额</w:t>
      </w:r>
      <w:r>
        <w:rPr>
          <w:rFonts w:hint="default"/>
          <w:color w:val="auto"/>
          <w:highlight w:val="none"/>
          <w:lang w:eastAsia="zh-CN"/>
        </w:rPr>
        <w:t>172.39</w:t>
      </w:r>
      <w:r>
        <w:rPr>
          <w:rFonts w:hint="eastAsia"/>
          <w:color w:val="auto"/>
          <w:highlight w:val="none"/>
          <w:lang w:val="en-US" w:eastAsia="zh-CN"/>
        </w:rPr>
        <w:t>万元，年度政府采购预算</w:t>
      </w:r>
      <w:r>
        <w:rPr>
          <w:rFonts w:hint="default"/>
          <w:color w:val="auto"/>
          <w:highlight w:val="none"/>
          <w:lang w:eastAsia="zh-CN"/>
        </w:rPr>
        <w:t>175.33</w:t>
      </w:r>
      <w:r>
        <w:rPr>
          <w:rFonts w:hint="eastAsia"/>
          <w:color w:val="auto"/>
          <w:highlight w:val="none"/>
          <w:lang w:val="en-US" w:eastAsia="zh-CN"/>
        </w:rPr>
        <w:t>万元，政府采购执行率为</w:t>
      </w:r>
      <w:r>
        <w:rPr>
          <w:rFonts w:hint="default"/>
          <w:color w:val="auto"/>
          <w:highlight w:val="none"/>
          <w:lang w:eastAsia="zh-CN"/>
        </w:rPr>
        <w:t>98.32</w:t>
      </w:r>
      <w:r>
        <w:rPr>
          <w:rFonts w:hint="eastAsia"/>
          <w:color w:val="auto"/>
          <w:highlight w:val="none"/>
          <w:lang w:val="en-US" w:eastAsia="zh-CN"/>
        </w:rPr>
        <w:t>%。</w:t>
      </w:r>
    </w:p>
    <w:p w14:paraId="320F8F77">
      <w:pPr>
        <w:rPr>
          <w:rFonts w:hint="default"/>
          <w:color w:val="auto"/>
          <w:highlight w:val="none"/>
          <w:lang w:val="en-US" w:eastAsia="zh-CN"/>
        </w:rPr>
      </w:pPr>
      <w:r>
        <w:rPr>
          <w:rFonts w:hint="eastAsia"/>
          <w:color w:val="auto"/>
          <w:highlight w:val="none"/>
          <w:lang w:val="en-US" w:eastAsia="zh-CN"/>
        </w:rPr>
        <w:t>采购合规性方面，项目单位根据预算单位采购活动的内控要求，设立了《</w:t>
      </w:r>
      <w:r>
        <w:rPr>
          <w:rFonts w:hint="default"/>
          <w:color w:val="auto"/>
          <w:highlight w:val="none"/>
          <w:lang w:val="en-US" w:eastAsia="zh-CN"/>
        </w:rPr>
        <w:t>梅州市梅江区人民政府</w:t>
      </w:r>
      <w:r>
        <w:rPr>
          <w:rFonts w:hint="default"/>
          <w:color w:val="auto"/>
          <w:highlight w:val="none"/>
          <w:lang w:eastAsia="zh-CN"/>
        </w:rPr>
        <w:t>西郊街道办事处单位</w:t>
      </w:r>
      <w:r>
        <w:rPr>
          <w:rFonts w:hint="default"/>
          <w:color w:val="auto"/>
          <w:highlight w:val="none"/>
          <w:lang w:val="en-US" w:eastAsia="zh-CN"/>
        </w:rPr>
        <w:t>内控制度</w:t>
      </w:r>
      <w:r>
        <w:rPr>
          <w:rFonts w:hint="eastAsia"/>
          <w:color w:val="auto"/>
          <w:highlight w:val="none"/>
          <w:lang w:val="en-US" w:eastAsia="zh-CN"/>
        </w:rPr>
        <w:t>》，有相关的制度保障。被评单位在2022年度能按（财库〔2020〕10号）文件精神，较好的做到政府采购意向公开。并能根据合同备案公开要求，在省采购网公开相关信息。</w:t>
      </w:r>
    </w:p>
    <w:p w14:paraId="673169D8">
      <w:pPr>
        <w:rPr>
          <w:rFonts w:hint="eastAsia" w:eastAsia="仿宋_GB2312"/>
          <w:color w:val="auto"/>
          <w:highlight w:val="none"/>
          <w:lang w:eastAsia="zh-CN"/>
        </w:rPr>
      </w:pPr>
      <w:r>
        <w:rPr>
          <w:rFonts w:hint="eastAsia"/>
          <w:color w:val="auto"/>
          <w:highlight w:val="none"/>
          <w:lang w:val="en-US" w:eastAsia="zh-CN"/>
        </w:rPr>
        <w:t>综上，采购管理得分为</w:t>
      </w:r>
      <w:r>
        <w:rPr>
          <w:rFonts w:hint="default"/>
          <w:color w:val="auto"/>
          <w:highlight w:val="none"/>
          <w:lang w:eastAsia="zh-CN"/>
        </w:rPr>
        <w:t>8.95</w:t>
      </w:r>
      <w:r>
        <w:rPr>
          <w:rFonts w:hint="eastAsia"/>
          <w:color w:val="auto"/>
          <w:highlight w:val="none"/>
          <w:lang w:val="en-US" w:eastAsia="zh-CN"/>
        </w:rPr>
        <w:t>分，得分率为</w:t>
      </w:r>
      <w:r>
        <w:rPr>
          <w:rFonts w:hint="default"/>
          <w:color w:val="auto"/>
          <w:highlight w:val="none"/>
          <w:lang w:eastAsia="zh-CN"/>
        </w:rPr>
        <w:t>99.44</w:t>
      </w:r>
      <w:r>
        <w:rPr>
          <w:rFonts w:hint="eastAsia"/>
          <w:color w:val="auto"/>
          <w:highlight w:val="none"/>
          <w:lang w:val="en-US" w:eastAsia="zh-CN"/>
        </w:rPr>
        <w:t>%</w:t>
      </w:r>
      <w:r>
        <w:rPr>
          <w:rFonts w:hint="default"/>
          <w:color w:val="auto"/>
          <w:highlight w:val="none"/>
          <w:lang w:eastAsia="zh-CN"/>
        </w:rPr>
        <w:t>。</w:t>
      </w:r>
    </w:p>
    <w:p w14:paraId="68DF4C5D">
      <w:pPr>
        <w:rPr>
          <w:rFonts w:hint="eastAsia" w:eastAsia="仿宋_GB2312"/>
          <w:color w:val="auto"/>
          <w:highlight w:val="none"/>
          <w:lang w:eastAsia="zh-CN"/>
        </w:rPr>
      </w:pPr>
    </w:p>
    <w:p w14:paraId="3E05688D">
      <w:pPr>
        <w:pStyle w:val="5"/>
        <w:bidi w:val="0"/>
        <w:rPr>
          <w:rFonts w:hint="eastAsia"/>
          <w:color w:val="auto"/>
          <w:highlight w:val="none"/>
        </w:rPr>
      </w:pPr>
      <w:r>
        <w:rPr>
          <w:rFonts w:hint="eastAsia"/>
          <w:color w:val="auto"/>
          <w:highlight w:val="none"/>
          <w:lang w:val="en-US" w:eastAsia="zh-CN"/>
        </w:rPr>
        <w:t>4、</w:t>
      </w:r>
      <w:r>
        <w:rPr>
          <w:rFonts w:hint="eastAsia"/>
          <w:color w:val="auto"/>
          <w:highlight w:val="none"/>
        </w:rPr>
        <w:t>项目管理</w:t>
      </w:r>
    </w:p>
    <w:p w14:paraId="0B7F01DF">
      <w:pPr>
        <w:rPr>
          <w:rFonts w:hint="default"/>
          <w:color w:val="auto"/>
          <w:highlight w:val="none"/>
          <w:lang w:eastAsia="zh-CN"/>
        </w:rPr>
      </w:pPr>
      <w:r>
        <w:rPr>
          <w:rFonts w:hint="default"/>
          <w:color w:val="auto"/>
          <w:highlight w:val="none"/>
        </w:rPr>
        <w:t>（1）</w:t>
      </w:r>
      <w:r>
        <w:rPr>
          <w:rFonts w:hint="eastAsia"/>
          <w:color w:val="auto"/>
          <w:highlight w:val="none"/>
        </w:rPr>
        <w:t>项目资金绩效完成情况</w:t>
      </w:r>
    </w:p>
    <w:p w14:paraId="38FC7E51">
      <w:pPr>
        <w:bidi w:val="0"/>
        <w:rPr>
          <w:rFonts w:hint="default"/>
          <w:color w:val="auto"/>
          <w:highlight w:val="none"/>
          <w:lang w:eastAsia="zh-CN"/>
        </w:rPr>
      </w:pPr>
      <w:r>
        <w:rPr>
          <w:rFonts w:hint="eastAsia"/>
          <w:color w:val="auto"/>
          <w:highlight w:val="none"/>
          <w:lang w:val="en-US" w:eastAsia="zh-CN"/>
        </w:rPr>
        <w:t>根据资金使用单位自评材料，</w:t>
      </w:r>
      <w:r>
        <w:rPr>
          <w:rFonts w:hint="default"/>
          <w:color w:val="auto"/>
          <w:highlight w:val="none"/>
          <w:lang w:eastAsia="zh-CN"/>
        </w:rPr>
        <w:t>西郊街道在2022年度有重点项目4项。总预算为264.82万元，实际支出为264.82万元，总体支出率为100%。（具体项目情况和执行情况见下表）</w:t>
      </w:r>
    </w:p>
    <w:p w14:paraId="2EDE3A13">
      <w:pPr>
        <w:bidi w:val="0"/>
        <w:rPr>
          <w:rFonts w:hint="default"/>
          <w:color w:val="auto"/>
          <w:highlight w:val="none"/>
          <w:lang w:eastAsia="zh-CN"/>
        </w:rPr>
      </w:pPr>
    </w:p>
    <w:p w14:paraId="3F8BDCDF">
      <w:pPr>
        <w:bidi w:val="0"/>
        <w:ind w:left="0" w:leftChars="0" w:firstLine="0" w:firstLineChars="0"/>
        <w:jc w:val="center"/>
        <w:rPr>
          <w:rFonts w:hint="default" w:ascii="华文中宋" w:hAnsi="华文中宋" w:eastAsia="华文中宋" w:cs="华文中宋"/>
          <w:color w:val="auto"/>
          <w:sz w:val="28"/>
          <w:szCs w:val="20"/>
          <w:highlight w:val="none"/>
          <w:lang w:val="en-US" w:eastAsia="zh-CN"/>
        </w:rPr>
      </w:pPr>
      <w:r>
        <w:rPr>
          <w:rFonts w:hint="eastAsia" w:ascii="华文中宋" w:hAnsi="华文中宋" w:eastAsia="华文中宋" w:cs="华文中宋"/>
          <w:color w:val="auto"/>
          <w:sz w:val="28"/>
          <w:szCs w:val="20"/>
          <w:highlight w:val="none"/>
          <w:lang w:val="en-US" w:eastAsia="zh-CN"/>
        </w:rPr>
        <w:t>表</w:t>
      </w:r>
      <w:r>
        <w:rPr>
          <w:rFonts w:hint="default" w:ascii="Times New Roman" w:hAnsi="Times New Roman" w:eastAsia="华文中宋" w:cs="Times New Roman"/>
          <w:color w:val="auto"/>
          <w:sz w:val="28"/>
          <w:szCs w:val="20"/>
          <w:highlight w:val="none"/>
          <w:lang w:val="en-US" w:eastAsia="zh-CN"/>
        </w:rPr>
        <w:t>1</w:t>
      </w:r>
      <w:r>
        <w:rPr>
          <w:rFonts w:hint="default" w:ascii="华文中宋" w:hAnsi="华文中宋" w:eastAsia="华文中宋" w:cs="华文中宋"/>
          <w:color w:val="auto"/>
          <w:sz w:val="28"/>
          <w:szCs w:val="20"/>
          <w:highlight w:val="none"/>
          <w:lang w:val="en-US" w:eastAsia="zh-CN"/>
        </w:rPr>
        <w:t>项目情况</w:t>
      </w:r>
      <w:r>
        <w:rPr>
          <w:rFonts w:hint="eastAsia" w:ascii="华文中宋" w:hAnsi="华文中宋" w:eastAsia="华文中宋" w:cs="华文中宋"/>
          <w:color w:val="auto"/>
          <w:sz w:val="28"/>
          <w:szCs w:val="20"/>
          <w:highlight w:val="none"/>
          <w:lang w:val="en-US" w:eastAsia="zh-CN"/>
        </w:rPr>
        <w:t>一览</w:t>
      </w:r>
      <w:r>
        <w:rPr>
          <w:rFonts w:hint="default" w:ascii="华文中宋" w:hAnsi="华文中宋" w:eastAsia="华文中宋" w:cs="华文中宋"/>
          <w:color w:val="auto"/>
          <w:sz w:val="28"/>
          <w:szCs w:val="20"/>
          <w:highlight w:val="none"/>
          <w:lang w:val="en-US" w:eastAsia="zh-CN"/>
        </w:rPr>
        <w:t>表</w:t>
      </w:r>
    </w:p>
    <w:tbl>
      <w:tblPr>
        <w:tblStyle w:val="23"/>
        <w:tblW w:w="925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2396"/>
        <w:gridCol w:w="926"/>
        <w:gridCol w:w="955"/>
        <w:gridCol w:w="972"/>
        <w:gridCol w:w="3283"/>
      </w:tblGrid>
      <w:tr w14:paraId="1FD19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726" w:type="dxa"/>
            <w:vAlign w:val="center"/>
          </w:tcPr>
          <w:p w14:paraId="2A39E263">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b/>
                <w:bCs/>
                <w:color w:val="auto"/>
                <w:sz w:val="24"/>
                <w:szCs w:val="24"/>
                <w:highlight w:val="none"/>
                <w:lang w:val="en-US" w:eastAsia="zh-CN"/>
              </w:rPr>
            </w:pPr>
            <w:r>
              <w:rPr>
                <w:rFonts w:hint="eastAsia"/>
                <w:b/>
                <w:bCs/>
                <w:color w:val="auto"/>
                <w:sz w:val="24"/>
                <w:szCs w:val="24"/>
                <w:highlight w:val="none"/>
                <w:lang w:val="en-US" w:eastAsia="zh-CN"/>
              </w:rPr>
              <w:t>序号</w:t>
            </w:r>
          </w:p>
        </w:tc>
        <w:tc>
          <w:tcPr>
            <w:tcW w:w="2396" w:type="dxa"/>
            <w:vAlign w:val="center"/>
          </w:tcPr>
          <w:p w14:paraId="54568B7C">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b/>
                <w:bCs/>
                <w:color w:val="auto"/>
                <w:sz w:val="24"/>
                <w:szCs w:val="24"/>
                <w:highlight w:val="none"/>
                <w:lang w:val="en-US" w:eastAsia="zh-CN"/>
              </w:rPr>
            </w:pPr>
            <w:r>
              <w:rPr>
                <w:rFonts w:hint="eastAsia"/>
                <w:b/>
                <w:bCs/>
                <w:color w:val="auto"/>
                <w:sz w:val="24"/>
                <w:szCs w:val="24"/>
                <w:highlight w:val="none"/>
                <w:lang w:val="en-US" w:eastAsia="zh-CN"/>
              </w:rPr>
              <w:t>项目名称</w:t>
            </w:r>
          </w:p>
        </w:tc>
        <w:tc>
          <w:tcPr>
            <w:tcW w:w="926" w:type="dxa"/>
            <w:vAlign w:val="center"/>
          </w:tcPr>
          <w:p w14:paraId="7E6E8BDF">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宋体" w:hAnsi="宋体" w:eastAsia="宋体" w:cs="宋体"/>
                <w:b/>
                <w:bCs/>
                <w:i w:val="0"/>
                <w:iCs w:val="0"/>
                <w:color w:val="auto"/>
                <w:kern w:val="0"/>
                <w:sz w:val="28"/>
                <w:szCs w:val="28"/>
                <w:highlight w:val="none"/>
                <w:u w:val="none"/>
                <w:lang w:eastAsia="zh-CN" w:bidi="ar"/>
              </w:rPr>
            </w:pPr>
            <w:r>
              <w:rPr>
                <w:rFonts w:hint="default"/>
                <w:b/>
                <w:bCs/>
                <w:color w:val="auto"/>
                <w:sz w:val="24"/>
                <w:szCs w:val="24"/>
                <w:highlight w:val="none"/>
                <w:lang w:val="en-US" w:eastAsia="zh-CN"/>
              </w:rPr>
              <w:t>项目预算</w:t>
            </w:r>
          </w:p>
        </w:tc>
        <w:tc>
          <w:tcPr>
            <w:tcW w:w="955" w:type="dxa"/>
            <w:vAlign w:val="center"/>
          </w:tcPr>
          <w:p w14:paraId="6B57E088">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宋体" w:hAnsi="宋体" w:eastAsia="宋体" w:cs="宋体"/>
                <w:b/>
                <w:bCs/>
                <w:i w:val="0"/>
                <w:iCs w:val="0"/>
                <w:color w:val="auto"/>
                <w:kern w:val="0"/>
                <w:sz w:val="28"/>
                <w:szCs w:val="28"/>
                <w:highlight w:val="none"/>
                <w:u w:val="none"/>
                <w:lang w:eastAsia="zh-CN" w:bidi="ar"/>
              </w:rPr>
            </w:pPr>
            <w:r>
              <w:rPr>
                <w:rFonts w:hint="default"/>
                <w:b/>
                <w:bCs/>
                <w:color w:val="auto"/>
                <w:sz w:val="24"/>
                <w:szCs w:val="24"/>
                <w:highlight w:val="none"/>
                <w:lang w:val="en-US" w:eastAsia="zh-CN"/>
              </w:rPr>
              <w:t>年度支出数</w:t>
            </w:r>
          </w:p>
        </w:tc>
        <w:tc>
          <w:tcPr>
            <w:tcW w:w="972" w:type="dxa"/>
            <w:vAlign w:val="center"/>
          </w:tcPr>
          <w:p w14:paraId="3B3B00D6">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宋体" w:hAnsi="宋体" w:eastAsia="宋体" w:cs="宋体"/>
                <w:b/>
                <w:bCs/>
                <w:i w:val="0"/>
                <w:iCs w:val="0"/>
                <w:color w:val="auto"/>
                <w:kern w:val="0"/>
                <w:sz w:val="28"/>
                <w:szCs w:val="28"/>
                <w:highlight w:val="none"/>
                <w:u w:val="none"/>
                <w:lang w:eastAsia="zh-CN" w:bidi="ar"/>
              </w:rPr>
            </w:pPr>
            <w:r>
              <w:rPr>
                <w:rFonts w:hint="default"/>
                <w:b/>
                <w:bCs/>
                <w:color w:val="auto"/>
                <w:sz w:val="24"/>
                <w:szCs w:val="24"/>
                <w:highlight w:val="none"/>
                <w:lang w:val="en-US" w:eastAsia="zh-CN"/>
              </w:rPr>
              <w:t>年度支出进度</w:t>
            </w:r>
          </w:p>
        </w:tc>
        <w:tc>
          <w:tcPr>
            <w:tcW w:w="3283" w:type="dxa"/>
            <w:vAlign w:val="center"/>
          </w:tcPr>
          <w:p w14:paraId="0A99E7E3">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b/>
                <w:bCs/>
                <w:i w:val="0"/>
                <w:iCs w:val="0"/>
                <w:color w:val="auto"/>
                <w:kern w:val="0"/>
                <w:sz w:val="28"/>
                <w:szCs w:val="28"/>
                <w:highlight w:val="none"/>
                <w:u w:val="none"/>
                <w:lang w:val="en-US" w:eastAsia="zh-CN" w:bidi="ar"/>
              </w:rPr>
            </w:pPr>
            <w:r>
              <w:rPr>
                <w:rFonts w:hint="eastAsia"/>
                <w:b/>
                <w:bCs/>
                <w:color w:val="auto"/>
                <w:sz w:val="24"/>
                <w:szCs w:val="24"/>
                <w:highlight w:val="none"/>
                <w:lang w:val="en-US" w:eastAsia="zh-CN"/>
              </w:rPr>
              <w:t>绩效目标</w:t>
            </w:r>
          </w:p>
        </w:tc>
      </w:tr>
      <w:tr w14:paraId="1321B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atLeast"/>
        </w:trPr>
        <w:tc>
          <w:tcPr>
            <w:tcW w:w="726" w:type="dxa"/>
            <w:vAlign w:val="center"/>
          </w:tcPr>
          <w:p w14:paraId="4DBD8277">
            <w:pPr>
              <w:spacing w:line="300" w:lineRule="auto"/>
              <w:ind w:left="0" w:leftChars="0" w:firstLine="0" w:firstLineChars="0"/>
              <w:jc w:val="center"/>
              <w:rPr>
                <w:rFonts w:hint="default"/>
                <w:color w:val="auto"/>
                <w:sz w:val="24"/>
                <w:szCs w:val="24"/>
                <w:highlight w:val="none"/>
                <w:lang w:val="en-US" w:eastAsia="zh-CN"/>
              </w:rPr>
            </w:pPr>
            <w:r>
              <w:rPr>
                <w:rFonts w:hint="default"/>
                <w:color w:val="auto"/>
                <w:sz w:val="24"/>
                <w:szCs w:val="24"/>
                <w:highlight w:val="none"/>
                <w:lang w:val="en-US" w:eastAsia="zh-CN"/>
              </w:rPr>
              <w:t>1</w:t>
            </w:r>
          </w:p>
        </w:tc>
        <w:tc>
          <w:tcPr>
            <w:tcW w:w="2396" w:type="dxa"/>
            <w:vAlign w:val="center"/>
          </w:tcPr>
          <w:p w14:paraId="46B0EAF2">
            <w:pPr>
              <w:spacing w:line="300" w:lineRule="auto"/>
              <w:ind w:left="0" w:leftChars="0" w:firstLine="0" w:firstLineChars="0"/>
              <w:jc w:val="center"/>
              <w:rPr>
                <w:rFonts w:hint="default"/>
                <w:color w:val="auto"/>
                <w:sz w:val="24"/>
                <w:szCs w:val="24"/>
                <w:highlight w:val="none"/>
                <w:lang w:val="en-US" w:eastAsia="zh-CN"/>
              </w:rPr>
            </w:pPr>
            <w:r>
              <w:rPr>
                <w:rFonts w:hint="default"/>
                <w:color w:val="auto"/>
                <w:sz w:val="24"/>
                <w:szCs w:val="24"/>
                <w:highlight w:val="none"/>
                <w:lang w:val="en-US" w:eastAsia="zh-CN"/>
              </w:rPr>
              <w:t>各村社区创文、疫情防控、抢险救灾支出，望杏坊建设工作经费，办事处创文、疫情防控支出</w:t>
            </w:r>
          </w:p>
        </w:tc>
        <w:tc>
          <w:tcPr>
            <w:tcW w:w="926" w:type="dxa"/>
            <w:vAlign w:val="center"/>
          </w:tcPr>
          <w:p w14:paraId="65B37D5E">
            <w:pPr>
              <w:spacing w:line="300" w:lineRule="auto"/>
              <w:ind w:left="0" w:leftChars="0" w:firstLine="0" w:firstLineChars="0"/>
              <w:jc w:val="center"/>
              <w:rPr>
                <w:rFonts w:hint="default"/>
                <w:color w:val="auto"/>
                <w:sz w:val="24"/>
                <w:szCs w:val="24"/>
                <w:highlight w:val="none"/>
                <w:lang w:val="en-US" w:eastAsia="zh-CN"/>
              </w:rPr>
            </w:pPr>
            <w:r>
              <w:rPr>
                <w:rFonts w:hint="default"/>
                <w:color w:val="auto"/>
                <w:sz w:val="24"/>
                <w:szCs w:val="24"/>
                <w:highlight w:val="none"/>
                <w:lang w:val="en-US" w:eastAsia="zh-CN"/>
              </w:rPr>
              <w:t>209.04</w:t>
            </w:r>
          </w:p>
        </w:tc>
        <w:tc>
          <w:tcPr>
            <w:tcW w:w="955" w:type="dxa"/>
            <w:vAlign w:val="center"/>
          </w:tcPr>
          <w:p w14:paraId="627F5EC1">
            <w:pPr>
              <w:spacing w:line="300" w:lineRule="auto"/>
              <w:ind w:left="0" w:leftChars="0" w:firstLine="0" w:firstLineChars="0"/>
              <w:jc w:val="center"/>
              <w:rPr>
                <w:rFonts w:hint="default"/>
                <w:color w:val="auto"/>
                <w:sz w:val="24"/>
                <w:szCs w:val="24"/>
                <w:highlight w:val="none"/>
                <w:lang w:val="en-US" w:eastAsia="zh-CN"/>
              </w:rPr>
            </w:pPr>
            <w:r>
              <w:rPr>
                <w:rFonts w:hint="default"/>
                <w:color w:val="auto"/>
                <w:sz w:val="24"/>
                <w:szCs w:val="24"/>
                <w:highlight w:val="none"/>
                <w:lang w:val="en-US" w:eastAsia="zh-CN"/>
              </w:rPr>
              <w:t>209.04</w:t>
            </w:r>
          </w:p>
        </w:tc>
        <w:tc>
          <w:tcPr>
            <w:tcW w:w="972" w:type="dxa"/>
            <w:vAlign w:val="center"/>
          </w:tcPr>
          <w:p w14:paraId="4BA3ECB9">
            <w:pPr>
              <w:spacing w:line="300" w:lineRule="auto"/>
              <w:ind w:left="0" w:leftChars="0" w:firstLine="0" w:firstLineChars="0"/>
              <w:jc w:val="center"/>
              <w:rPr>
                <w:rFonts w:hint="default"/>
                <w:color w:val="auto"/>
                <w:sz w:val="24"/>
                <w:szCs w:val="24"/>
                <w:highlight w:val="none"/>
                <w:lang w:val="en-US" w:eastAsia="zh-CN"/>
              </w:rPr>
            </w:pPr>
            <w:r>
              <w:rPr>
                <w:rFonts w:hint="default"/>
                <w:color w:val="auto"/>
                <w:sz w:val="24"/>
                <w:szCs w:val="24"/>
                <w:highlight w:val="none"/>
                <w:lang w:eastAsia="zh-CN"/>
              </w:rPr>
              <w:t>100%</w:t>
            </w:r>
          </w:p>
        </w:tc>
        <w:tc>
          <w:tcPr>
            <w:tcW w:w="3283" w:type="dxa"/>
            <w:vAlign w:val="center"/>
          </w:tcPr>
          <w:p w14:paraId="47C3D4F0">
            <w:pPr>
              <w:spacing w:line="300" w:lineRule="auto"/>
              <w:ind w:left="0" w:leftChars="0" w:firstLine="0" w:firstLineChars="0"/>
              <w:jc w:val="center"/>
              <w:rPr>
                <w:rFonts w:hint="default"/>
                <w:color w:val="auto"/>
                <w:sz w:val="24"/>
                <w:szCs w:val="24"/>
                <w:highlight w:val="none"/>
                <w:lang w:val="en-US" w:eastAsia="zh-CN"/>
              </w:rPr>
            </w:pPr>
            <w:r>
              <w:rPr>
                <w:rFonts w:hint="eastAsia"/>
                <w:color w:val="auto"/>
                <w:sz w:val="24"/>
                <w:szCs w:val="24"/>
                <w:highlight w:val="none"/>
                <w:lang w:val="en-US" w:eastAsia="zh-CN"/>
              </w:rPr>
              <w:t>缺</w:t>
            </w:r>
          </w:p>
        </w:tc>
      </w:tr>
      <w:tr w14:paraId="25CC1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0" w:hRule="atLeast"/>
        </w:trPr>
        <w:tc>
          <w:tcPr>
            <w:tcW w:w="726" w:type="dxa"/>
            <w:vAlign w:val="center"/>
          </w:tcPr>
          <w:p w14:paraId="70417822">
            <w:pPr>
              <w:spacing w:line="300" w:lineRule="auto"/>
              <w:ind w:left="0" w:leftChars="0" w:firstLine="0" w:firstLineChars="0"/>
              <w:jc w:val="center"/>
              <w:rPr>
                <w:rFonts w:hint="default"/>
                <w:color w:val="auto"/>
                <w:sz w:val="24"/>
                <w:szCs w:val="24"/>
                <w:highlight w:val="none"/>
                <w:lang w:val="en-US" w:eastAsia="zh-CN"/>
              </w:rPr>
            </w:pPr>
            <w:r>
              <w:rPr>
                <w:rFonts w:hint="default"/>
                <w:color w:val="auto"/>
                <w:sz w:val="24"/>
                <w:szCs w:val="24"/>
                <w:highlight w:val="none"/>
                <w:lang w:val="en-US" w:eastAsia="zh-CN"/>
              </w:rPr>
              <w:t>2</w:t>
            </w:r>
          </w:p>
        </w:tc>
        <w:tc>
          <w:tcPr>
            <w:tcW w:w="2396" w:type="dxa"/>
            <w:vAlign w:val="center"/>
          </w:tcPr>
          <w:p w14:paraId="5A40E8AF">
            <w:pPr>
              <w:spacing w:line="300" w:lineRule="auto"/>
              <w:ind w:left="0" w:leftChars="0" w:firstLine="0" w:firstLineChars="0"/>
              <w:jc w:val="center"/>
              <w:rPr>
                <w:rFonts w:hint="default"/>
                <w:color w:val="auto"/>
                <w:sz w:val="24"/>
                <w:szCs w:val="24"/>
                <w:highlight w:val="none"/>
                <w:lang w:val="en-US" w:eastAsia="zh-CN"/>
              </w:rPr>
            </w:pPr>
            <w:r>
              <w:rPr>
                <w:rFonts w:hint="default"/>
                <w:color w:val="auto"/>
                <w:sz w:val="24"/>
                <w:szCs w:val="24"/>
                <w:highlight w:val="none"/>
                <w:lang w:val="en-US" w:eastAsia="zh-CN"/>
              </w:rPr>
              <w:t>月影塘社区县委宿舍老旧小区改造及周边历史建筑修缮工程</w:t>
            </w:r>
          </w:p>
        </w:tc>
        <w:tc>
          <w:tcPr>
            <w:tcW w:w="926" w:type="dxa"/>
            <w:vAlign w:val="center"/>
          </w:tcPr>
          <w:p w14:paraId="100EED46">
            <w:pPr>
              <w:spacing w:line="300" w:lineRule="auto"/>
              <w:ind w:left="0" w:leftChars="0" w:firstLine="0" w:firstLineChars="0"/>
              <w:jc w:val="center"/>
              <w:rPr>
                <w:rFonts w:hint="default"/>
                <w:color w:val="auto"/>
                <w:sz w:val="24"/>
                <w:szCs w:val="24"/>
                <w:highlight w:val="none"/>
                <w:lang w:val="en-US" w:eastAsia="zh-CN"/>
              </w:rPr>
            </w:pPr>
            <w:r>
              <w:rPr>
                <w:rFonts w:hint="default"/>
                <w:color w:val="auto"/>
                <w:sz w:val="24"/>
                <w:szCs w:val="24"/>
                <w:highlight w:val="none"/>
                <w:lang w:val="en-US" w:eastAsia="zh-CN"/>
              </w:rPr>
              <w:t>11.23</w:t>
            </w:r>
          </w:p>
        </w:tc>
        <w:tc>
          <w:tcPr>
            <w:tcW w:w="955" w:type="dxa"/>
            <w:vAlign w:val="center"/>
          </w:tcPr>
          <w:p w14:paraId="2802F60E">
            <w:pPr>
              <w:spacing w:line="300" w:lineRule="auto"/>
              <w:ind w:left="0" w:leftChars="0" w:firstLine="0" w:firstLineChars="0"/>
              <w:jc w:val="center"/>
              <w:rPr>
                <w:rFonts w:hint="default"/>
                <w:color w:val="auto"/>
                <w:sz w:val="24"/>
                <w:szCs w:val="24"/>
                <w:highlight w:val="none"/>
                <w:lang w:val="en-US" w:eastAsia="zh-CN"/>
              </w:rPr>
            </w:pPr>
            <w:r>
              <w:rPr>
                <w:rFonts w:hint="default"/>
                <w:color w:val="auto"/>
                <w:sz w:val="24"/>
                <w:szCs w:val="24"/>
                <w:highlight w:val="none"/>
                <w:lang w:val="en-US" w:eastAsia="zh-CN"/>
              </w:rPr>
              <w:t>11.23</w:t>
            </w:r>
          </w:p>
        </w:tc>
        <w:tc>
          <w:tcPr>
            <w:tcW w:w="972" w:type="dxa"/>
            <w:vAlign w:val="center"/>
          </w:tcPr>
          <w:p w14:paraId="2898FEB4">
            <w:pPr>
              <w:spacing w:line="300" w:lineRule="auto"/>
              <w:ind w:left="0" w:leftChars="0" w:firstLine="0" w:firstLineChars="0"/>
              <w:jc w:val="center"/>
              <w:rPr>
                <w:rFonts w:hint="default"/>
                <w:color w:val="auto"/>
                <w:sz w:val="24"/>
                <w:szCs w:val="24"/>
                <w:highlight w:val="none"/>
                <w:lang w:eastAsia="zh-CN"/>
              </w:rPr>
            </w:pPr>
            <w:r>
              <w:rPr>
                <w:rFonts w:hint="default"/>
                <w:color w:val="auto"/>
                <w:sz w:val="24"/>
                <w:szCs w:val="24"/>
                <w:highlight w:val="none"/>
                <w:lang w:eastAsia="zh-CN"/>
              </w:rPr>
              <w:t>100%</w:t>
            </w:r>
          </w:p>
        </w:tc>
        <w:tc>
          <w:tcPr>
            <w:tcW w:w="3283" w:type="dxa"/>
            <w:vAlign w:val="center"/>
          </w:tcPr>
          <w:p w14:paraId="2CAB54DF">
            <w:pPr>
              <w:spacing w:line="300" w:lineRule="auto"/>
              <w:ind w:left="0" w:leftChars="0" w:firstLine="0" w:firstLineChars="0"/>
              <w:jc w:val="center"/>
              <w:rPr>
                <w:rFonts w:hint="default"/>
                <w:color w:val="auto"/>
                <w:sz w:val="24"/>
                <w:szCs w:val="24"/>
                <w:highlight w:val="none"/>
                <w:lang w:val="en-US" w:eastAsia="zh-CN"/>
              </w:rPr>
            </w:pPr>
            <w:r>
              <w:rPr>
                <w:rFonts w:hint="default"/>
                <w:color w:val="auto"/>
                <w:sz w:val="24"/>
                <w:szCs w:val="24"/>
                <w:highlight w:val="none"/>
                <w:lang w:val="en-US" w:eastAsia="zh-CN"/>
              </w:rPr>
              <w:t>拆除原有混凝土路面，重新建筑混凝土垫层及路面，铺筑沥青路面；历史建筑修缮加固及消防改造；新建充电桩，围墙改造，线路整治，新建沉沙井，排水排污系统等。</w:t>
            </w:r>
          </w:p>
        </w:tc>
      </w:tr>
      <w:tr w14:paraId="2388D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26" w:type="dxa"/>
            <w:vAlign w:val="center"/>
          </w:tcPr>
          <w:p w14:paraId="1580BED3">
            <w:pPr>
              <w:spacing w:line="300" w:lineRule="auto"/>
              <w:ind w:left="0" w:leftChars="0" w:firstLine="0" w:firstLineChars="0"/>
              <w:jc w:val="center"/>
              <w:rPr>
                <w:rFonts w:hint="default"/>
                <w:color w:val="auto"/>
                <w:sz w:val="24"/>
                <w:szCs w:val="24"/>
                <w:highlight w:val="none"/>
                <w:lang w:val="en-US" w:eastAsia="zh-CN"/>
              </w:rPr>
            </w:pPr>
            <w:r>
              <w:rPr>
                <w:rFonts w:hint="default"/>
                <w:color w:val="auto"/>
                <w:sz w:val="24"/>
                <w:szCs w:val="24"/>
                <w:highlight w:val="none"/>
                <w:lang w:val="en-US" w:eastAsia="zh-CN"/>
              </w:rPr>
              <w:t>3</w:t>
            </w:r>
          </w:p>
        </w:tc>
        <w:tc>
          <w:tcPr>
            <w:tcW w:w="2396" w:type="dxa"/>
            <w:vAlign w:val="center"/>
          </w:tcPr>
          <w:p w14:paraId="20C89A5A">
            <w:pPr>
              <w:spacing w:line="300" w:lineRule="auto"/>
              <w:ind w:left="0" w:leftChars="0" w:firstLine="0" w:firstLineChars="0"/>
              <w:jc w:val="center"/>
              <w:rPr>
                <w:rFonts w:hint="default"/>
                <w:color w:val="auto"/>
                <w:sz w:val="24"/>
                <w:szCs w:val="24"/>
                <w:highlight w:val="none"/>
                <w:lang w:val="en-US" w:eastAsia="zh-CN"/>
              </w:rPr>
            </w:pPr>
            <w:r>
              <w:rPr>
                <w:rFonts w:hint="default"/>
                <w:color w:val="auto"/>
                <w:sz w:val="24"/>
                <w:szCs w:val="24"/>
                <w:highlight w:val="none"/>
                <w:lang w:val="en-US" w:eastAsia="zh-CN"/>
              </w:rPr>
              <w:t>梅江区西郊街道勤力苑老旧小区周边背街小巷道路整治提升</w:t>
            </w:r>
          </w:p>
        </w:tc>
        <w:tc>
          <w:tcPr>
            <w:tcW w:w="926" w:type="dxa"/>
            <w:vAlign w:val="center"/>
          </w:tcPr>
          <w:p w14:paraId="33466C7D">
            <w:pPr>
              <w:spacing w:line="300" w:lineRule="auto"/>
              <w:ind w:left="0" w:leftChars="0" w:firstLine="0" w:firstLineChars="0"/>
              <w:jc w:val="center"/>
              <w:rPr>
                <w:rFonts w:hint="default"/>
                <w:color w:val="auto"/>
                <w:sz w:val="24"/>
                <w:szCs w:val="24"/>
                <w:highlight w:val="none"/>
                <w:lang w:val="en-US" w:eastAsia="zh-CN"/>
              </w:rPr>
            </w:pPr>
            <w:r>
              <w:rPr>
                <w:rFonts w:hint="default"/>
                <w:color w:val="auto"/>
                <w:sz w:val="24"/>
                <w:szCs w:val="24"/>
                <w:highlight w:val="none"/>
                <w:lang w:val="en-US" w:eastAsia="zh-CN"/>
              </w:rPr>
              <w:t>37.89</w:t>
            </w:r>
          </w:p>
        </w:tc>
        <w:tc>
          <w:tcPr>
            <w:tcW w:w="955" w:type="dxa"/>
            <w:vAlign w:val="center"/>
          </w:tcPr>
          <w:p w14:paraId="27AE35A1">
            <w:pPr>
              <w:spacing w:line="300" w:lineRule="auto"/>
              <w:ind w:left="0" w:leftChars="0" w:firstLine="0" w:firstLineChars="0"/>
              <w:jc w:val="center"/>
              <w:rPr>
                <w:rFonts w:hint="default"/>
                <w:color w:val="auto"/>
                <w:sz w:val="24"/>
                <w:szCs w:val="24"/>
                <w:highlight w:val="none"/>
                <w:lang w:val="en-US" w:eastAsia="zh-CN"/>
              </w:rPr>
            </w:pPr>
            <w:r>
              <w:rPr>
                <w:rFonts w:hint="default"/>
                <w:color w:val="auto"/>
                <w:sz w:val="24"/>
                <w:szCs w:val="24"/>
                <w:highlight w:val="none"/>
                <w:lang w:val="en-US" w:eastAsia="zh-CN"/>
              </w:rPr>
              <w:t>37.89</w:t>
            </w:r>
          </w:p>
        </w:tc>
        <w:tc>
          <w:tcPr>
            <w:tcW w:w="972" w:type="dxa"/>
            <w:vAlign w:val="center"/>
          </w:tcPr>
          <w:p w14:paraId="5BAF2D69">
            <w:pPr>
              <w:spacing w:line="300" w:lineRule="auto"/>
              <w:ind w:left="0" w:leftChars="0" w:firstLine="0" w:firstLineChars="0"/>
              <w:jc w:val="center"/>
              <w:rPr>
                <w:rFonts w:hint="default"/>
                <w:color w:val="auto"/>
                <w:sz w:val="24"/>
                <w:szCs w:val="24"/>
                <w:highlight w:val="none"/>
                <w:lang w:val="en-US" w:eastAsia="zh-CN"/>
              </w:rPr>
            </w:pPr>
            <w:r>
              <w:rPr>
                <w:rFonts w:hint="default"/>
                <w:color w:val="auto"/>
                <w:sz w:val="24"/>
                <w:szCs w:val="24"/>
                <w:highlight w:val="none"/>
                <w:lang w:eastAsia="zh-CN"/>
              </w:rPr>
              <w:t>100%</w:t>
            </w:r>
          </w:p>
        </w:tc>
        <w:tc>
          <w:tcPr>
            <w:tcW w:w="3283" w:type="dxa"/>
            <w:vAlign w:val="center"/>
          </w:tcPr>
          <w:p w14:paraId="6756FB0D">
            <w:pPr>
              <w:spacing w:line="300" w:lineRule="auto"/>
              <w:ind w:left="0" w:leftChars="0" w:firstLine="0" w:firstLineChars="0"/>
              <w:jc w:val="center"/>
              <w:rPr>
                <w:rFonts w:hint="default"/>
                <w:color w:val="auto"/>
                <w:sz w:val="24"/>
                <w:szCs w:val="24"/>
                <w:highlight w:val="none"/>
                <w:lang w:eastAsia="zh-CN"/>
              </w:rPr>
            </w:pPr>
            <w:r>
              <w:rPr>
                <w:rFonts w:hint="default"/>
                <w:color w:val="auto"/>
                <w:sz w:val="24"/>
                <w:szCs w:val="24"/>
                <w:highlight w:val="none"/>
                <w:lang w:eastAsia="zh-CN"/>
              </w:rPr>
              <w:t>拆除原有的破烂旧路，重新浇筑混凝土路面、铺沥青混凝土面层，划线、清淤、清理化粪池等。</w:t>
            </w:r>
          </w:p>
        </w:tc>
      </w:tr>
      <w:tr w14:paraId="209FC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0" w:hRule="atLeast"/>
        </w:trPr>
        <w:tc>
          <w:tcPr>
            <w:tcW w:w="726" w:type="dxa"/>
            <w:vAlign w:val="center"/>
          </w:tcPr>
          <w:p w14:paraId="72A7BFA5">
            <w:pPr>
              <w:spacing w:line="300" w:lineRule="auto"/>
              <w:ind w:left="0" w:leftChars="0" w:firstLine="0" w:firstLineChars="0"/>
              <w:jc w:val="center"/>
              <w:rPr>
                <w:rFonts w:hint="default"/>
                <w:color w:val="auto"/>
                <w:sz w:val="24"/>
                <w:szCs w:val="24"/>
                <w:highlight w:val="none"/>
                <w:lang w:val="en-US" w:eastAsia="zh-CN"/>
              </w:rPr>
            </w:pPr>
            <w:r>
              <w:rPr>
                <w:rFonts w:hint="default"/>
                <w:color w:val="auto"/>
                <w:sz w:val="24"/>
                <w:szCs w:val="24"/>
                <w:highlight w:val="none"/>
                <w:lang w:val="en-US" w:eastAsia="zh-CN"/>
              </w:rPr>
              <w:t>4</w:t>
            </w:r>
          </w:p>
        </w:tc>
        <w:tc>
          <w:tcPr>
            <w:tcW w:w="2396" w:type="dxa"/>
            <w:vAlign w:val="center"/>
          </w:tcPr>
          <w:p w14:paraId="04CA15E5">
            <w:pPr>
              <w:spacing w:line="300" w:lineRule="auto"/>
              <w:ind w:left="0" w:leftChars="0" w:firstLine="0" w:firstLineChars="0"/>
              <w:jc w:val="center"/>
              <w:rPr>
                <w:rFonts w:hint="default"/>
                <w:color w:val="auto"/>
                <w:sz w:val="24"/>
                <w:szCs w:val="24"/>
                <w:highlight w:val="none"/>
                <w:lang w:val="en-US" w:eastAsia="zh-CN"/>
              </w:rPr>
            </w:pPr>
            <w:r>
              <w:rPr>
                <w:rFonts w:hint="default"/>
                <w:color w:val="auto"/>
                <w:sz w:val="24"/>
                <w:szCs w:val="24"/>
                <w:highlight w:val="none"/>
                <w:lang w:val="en-US" w:eastAsia="zh-CN"/>
              </w:rPr>
              <w:t>办事处属地管理的国有企业退休人员社会化管理补助支出</w:t>
            </w:r>
          </w:p>
        </w:tc>
        <w:tc>
          <w:tcPr>
            <w:tcW w:w="926" w:type="dxa"/>
            <w:vAlign w:val="center"/>
          </w:tcPr>
          <w:p w14:paraId="1AB09FDE">
            <w:pPr>
              <w:spacing w:line="300" w:lineRule="auto"/>
              <w:ind w:left="0" w:leftChars="0" w:firstLine="0" w:firstLineChars="0"/>
              <w:jc w:val="center"/>
              <w:rPr>
                <w:rFonts w:hint="default"/>
                <w:color w:val="auto"/>
                <w:sz w:val="24"/>
                <w:szCs w:val="24"/>
                <w:highlight w:val="none"/>
                <w:lang w:val="en-US" w:eastAsia="zh-CN"/>
              </w:rPr>
            </w:pPr>
            <w:r>
              <w:rPr>
                <w:rFonts w:hint="default"/>
                <w:color w:val="auto"/>
                <w:sz w:val="24"/>
                <w:szCs w:val="24"/>
                <w:highlight w:val="none"/>
                <w:lang w:val="en-US" w:eastAsia="zh-CN"/>
              </w:rPr>
              <w:t>66.57</w:t>
            </w:r>
          </w:p>
        </w:tc>
        <w:tc>
          <w:tcPr>
            <w:tcW w:w="955" w:type="dxa"/>
            <w:vAlign w:val="center"/>
          </w:tcPr>
          <w:p w14:paraId="74634CEA">
            <w:pPr>
              <w:spacing w:line="300" w:lineRule="auto"/>
              <w:ind w:left="0" w:leftChars="0" w:firstLine="0" w:firstLineChars="0"/>
              <w:jc w:val="center"/>
              <w:rPr>
                <w:rFonts w:hint="default"/>
                <w:color w:val="auto"/>
                <w:sz w:val="24"/>
                <w:szCs w:val="24"/>
                <w:highlight w:val="none"/>
                <w:lang w:val="en-US" w:eastAsia="zh-CN"/>
              </w:rPr>
            </w:pPr>
            <w:r>
              <w:rPr>
                <w:rFonts w:hint="default"/>
                <w:color w:val="auto"/>
                <w:sz w:val="24"/>
                <w:szCs w:val="24"/>
                <w:highlight w:val="none"/>
                <w:lang w:val="en-US" w:eastAsia="zh-CN"/>
              </w:rPr>
              <w:t>66.57</w:t>
            </w:r>
          </w:p>
        </w:tc>
        <w:tc>
          <w:tcPr>
            <w:tcW w:w="972" w:type="dxa"/>
            <w:vAlign w:val="center"/>
          </w:tcPr>
          <w:p w14:paraId="7D1E2967">
            <w:pPr>
              <w:spacing w:line="300" w:lineRule="auto"/>
              <w:ind w:left="0" w:leftChars="0" w:firstLine="0" w:firstLineChars="0"/>
              <w:jc w:val="center"/>
              <w:rPr>
                <w:rFonts w:hint="default"/>
                <w:color w:val="auto"/>
                <w:sz w:val="24"/>
                <w:szCs w:val="24"/>
                <w:highlight w:val="none"/>
                <w:lang w:val="en-US" w:eastAsia="zh-CN"/>
              </w:rPr>
            </w:pPr>
            <w:r>
              <w:rPr>
                <w:rFonts w:hint="default"/>
                <w:color w:val="auto"/>
                <w:sz w:val="24"/>
                <w:szCs w:val="24"/>
                <w:highlight w:val="none"/>
                <w:lang w:eastAsia="zh-CN"/>
              </w:rPr>
              <w:t>100%</w:t>
            </w:r>
          </w:p>
        </w:tc>
        <w:tc>
          <w:tcPr>
            <w:tcW w:w="3283" w:type="dxa"/>
            <w:vAlign w:val="center"/>
          </w:tcPr>
          <w:p w14:paraId="535A5A64">
            <w:pPr>
              <w:spacing w:line="300" w:lineRule="auto"/>
              <w:ind w:left="0" w:leftChars="0" w:firstLine="0" w:firstLineChars="0"/>
              <w:jc w:val="center"/>
              <w:rPr>
                <w:rFonts w:hint="default"/>
                <w:color w:val="auto"/>
                <w:sz w:val="24"/>
                <w:szCs w:val="24"/>
                <w:highlight w:val="none"/>
                <w:lang w:val="en-US" w:eastAsia="zh-CN"/>
              </w:rPr>
            </w:pPr>
            <w:r>
              <w:rPr>
                <w:rFonts w:hint="default"/>
                <w:color w:val="auto"/>
                <w:sz w:val="24"/>
                <w:szCs w:val="24"/>
                <w:highlight w:val="none"/>
                <w:lang w:val="en-US" w:eastAsia="zh-CN"/>
              </w:rPr>
              <w:t>分为三个阶段，第一移交承接国有企业退休人员695人。第二明确社区工作职责。第三指导社区完善国有企业退休人员管理职能。</w:t>
            </w:r>
          </w:p>
        </w:tc>
      </w:tr>
    </w:tbl>
    <w:p w14:paraId="53A2726D">
      <w:pPr>
        <w:bidi w:val="0"/>
        <w:ind w:left="0" w:leftChars="0" w:firstLine="640" w:firstLineChars="200"/>
        <w:jc w:val="left"/>
        <w:rPr>
          <w:rFonts w:hint="default" w:cs="Calibri"/>
          <w:b w:val="0"/>
          <w:bCs w:val="0"/>
          <w:color w:val="auto"/>
          <w:kern w:val="2"/>
          <w:sz w:val="32"/>
          <w:szCs w:val="21"/>
          <w:highlight w:val="none"/>
          <w:lang w:eastAsia="zh-CN" w:bidi="ar-SA"/>
        </w:rPr>
      </w:pPr>
    </w:p>
    <w:p w14:paraId="0C47E627">
      <w:pPr>
        <w:bidi w:val="0"/>
        <w:ind w:left="0" w:leftChars="0" w:firstLine="640" w:firstLineChars="200"/>
        <w:jc w:val="left"/>
        <w:rPr>
          <w:rFonts w:hint="eastAsia" w:cs="Calibri"/>
          <w:b w:val="0"/>
          <w:bCs w:val="0"/>
          <w:color w:val="auto"/>
          <w:kern w:val="2"/>
          <w:sz w:val="32"/>
          <w:szCs w:val="21"/>
          <w:highlight w:val="none"/>
          <w:lang w:val="en-US" w:eastAsia="zh-CN" w:bidi="ar-SA"/>
        </w:rPr>
      </w:pPr>
      <w:r>
        <w:rPr>
          <w:rFonts w:hint="default" w:cs="Calibri"/>
          <w:b w:val="0"/>
          <w:bCs w:val="0"/>
          <w:color w:val="auto"/>
          <w:kern w:val="2"/>
          <w:sz w:val="32"/>
          <w:szCs w:val="21"/>
          <w:highlight w:val="none"/>
          <w:lang w:eastAsia="zh-CN" w:bidi="ar-SA"/>
        </w:rPr>
        <w:t>西郊街道</w:t>
      </w:r>
      <w:r>
        <w:rPr>
          <w:rFonts w:hint="eastAsia" w:cs="Calibri"/>
          <w:b w:val="0"/>
          <w:bCs w:val="0"/>
          <w:color w:val="auto"/>
          <w:kern w:val="2"/>
          <w:sz w:val="32"/>
          <w:szCs w:val="21"/>
          <w:highlight w:val="none"/>
          <w:lang w:val="en-US" w:eastAsia="zh-CN" w:bidi="ar-SA"/>
        </w:rPr>
        <w:t>2022年度重点项目</w:t>
      </w:r>
      <w:r>
        <w:rPr>
          <w:rFonts w:hint="default" w:cs="Calibri"/>
          <w:b w:val="0"/>
          <w:bCs w:val="0"/>
          <w:color w:val="auto"/>
          <w:kern w:val="2"/>
          <w:sz w:val="32"/>
          <w:szCs w:val="21"/>
          <w:highlight w:val="none"/>
          <w:lang w:eastAsia="zh-CN" w:bidi="ar-SA"/>
        </w:rPr>
        <w:t>分别为创文支出、老旧小区修缮及街道整治、补助支出</w:t>
      </w:r>
      <w:r>
        <w:rPr>
          <w:rFonts w:hint="eastAsia" w:cs="Calibri"/>
          <w:b w:val="0"/>
          <w:bCs w:val="0"/>
          <w:color w:val="auto"/>
          <w:kern w:val="2"/>
          <w:sz w:val="32"/>
          <w:szCs w:val="21"/>
          <w:highlight w:val="none"/>
          <w:lang w:val="en-US" w:eastAsia="zh-CN" w:bidi="ar-SA"/>
        </w:rPr>
        <w:t>。经</w:t>
      </w:r>
      <w:r>
        <w:rPr>
          <w:rFonts w:hint="default" w:cs="Calibri"/>
          <w:b w:val="0"/>
          <w:bCs w:val="0"/>
          <w:color w:val="auto"/>
          <w:kern w:val="2"/>
          <w:sz w:val="32"/>
          <w:szCs w:val="21"/>
          <w:highlight w:val="none"/>
          <w:lang w:eastAsia="zh-CN" w:bidi="ar-SA"/>
        </w:rPr>
        <w:t>评价</w:t>
      </w:r>
      <w:r>
        <w:rPr>
          <w:rFonts w:hint="eastAsia" w:cs="Calibri"/>
          <w:b w:val="0"/>
          <w:bCs w:val="0"/>
          <w:color w:val="auto"/>
          <w:kern w:val="2"/>
          <w:sz w:val="32"/>
          <w:szCs w:val="21"/>
          <w:highlight w:val="none"/>
          <w:lang w:val="en-US" w:eastAsia="zh-CN" w:bidi="ar-SA"/>
        </w:rPr>
        <w:t>组评审</w:t>
      </w:r>
      <w:r>
        <w:rPr>
          <w:rFonts w:hint="eastAsia" w:cs="Calibri"/>
          <w:b w:val="0"/>
          <w:bCs w:val="0"/>
          <w:color w:val="auto"/>
          <w:kern w:val="2"/>
          <w:sz w:val="32"/>
          <w:szCs w:val="21"/>
          <w:highlight w:val="none"/>
          <w:lang w:eastAsia="zh-CN" w:bidi="ar-SA"/>
        </w:rPr>
        <w:t>“</w:t>
      </w:r>
      <w:r>
        <w:rPr>
          <w:rFonts w:hint="default" w:cs="Calibri"/>
          <w:b w:val="0"/>
          <w:bCs w:val="0"/>
          <w:color w:val="auto"/>
          <w:kern w:val="2"/>
          <w:sz w:val="32"/>
          <w:szCs w:val="21"/>
          <w:highlight w:val="none"/>
          <w:lang w:val="en-US" w:eastAsia="zh-CN" w:bidi="ar-SA"/>
        </w:rPr>
        <w:t>老旧小区修缮</w:t>
      </w:r>
      <w:r>
        <w:rPr>
          <w:rFonts w:hint="eastAsia" w:cs="Calibri"/>
          <w:b w:val="0"/>
          <w:bCs w:val="0"/>
          <w:color w:val="auto"/>
          <w:kern w:val="2"/>
          <w:sz w:val="32"/>
          <w:szCs w:val="21"/>
          <w:highlight w:val="none"/>
          <w:lang w:eastAsia="zh-CN" w:bidi="ar-SA"/>
        </w:rPr>
        <w:t>”</w:t>
      </w:r>
      <w:r>
        <w:rPr>
          <w:rFonts w:hint="default" w:cs="Calibri"/>
          <w:b w:val="0"/>
          <w:bCs w:val="0"/>
          <w:color w:val="auto"/>
          <w:kern w:val="2"/>
          <w:sz w:val="32"/>
          <w:szCs w:val="21"/>
          <w:highlight w:val="none"/>
          <w:lang w:eastAsia="zh-CN" w:bidi="ar-SA"/>
        </w:rPr>
        <w:t>和</w:t>
      </w:r>
      <w:r>
        <w:rPr>
          <w:rFonts w:hint="eastAsia" w:cs="Calibri"/>
          <w:b w:val="0"/>
          <w:bCs w:val="0"/>
          <w:color w:val="auto"/>
          <w:kern w:val="2"/>
          <w:sz w:val="32"/>
          <w:szCs w:val="21"/>
          <w:highlight w:val="none"/>
          <w:lang w:eastAsia="zh-CN" w:bidi="ar-SA"/>
        </w:rPr>
        <w:t>“</w:t>
      </w:r>
      <w:r>
        <w:rPr>
          <w:rFonts w:hint="default" w:cs="Calibri"/>
          <w:b w:val="0"/>
          <w:bCs w:val="0"/>
          <w:color w:val="auto"/>
          <w:kern w:val="2"/>
          <w:sz w:val="32"/>
          <w:szCs w:val="21"/>
          <w:highlight w:val="none"/>
          <w:lang w:val="en-US" w:eastAsia="zh-CN" w:bidi="ar-SA"/>
        </w:rPr>
        <w:t>补助支出</w:t>
      </w:r>
      <w:r>
        <w:rPr>
          <w:rFonts w:hint="eastAsia" w:cs="Calibri"/>
          <w:b w:val="0"/>
          <w:bCs w:val="0"/>
          <w:color w:val="auto"/>
          <w:kern w:val="2"/>
          <w:sz w:val="32"/>
          <w:szCs w:val="21"/>
          <w:highlight w:val="none"/>
          <w:lang w:eastAsia="zh-CN" w:bidi="ar-SA"/>
        </w:rPr>
        <w:t>”</w:t>
      </w:r>
      <w:r>
        <w:rPr>
          <w:rFonts w:hint="eastAsia" w:cs="Calibri"/>
          <w:b w:val="0"/>
          <w:bCs w:val="0"/>
          <w:color w:val="auto"/>
          <w:kern w:val="2"/>
          <w:sz w:val="32"/>
          <w:szCs w:val="21"/>
          <w:highlight w:val="none"/>
          <w:lang w:val="en-US" w:eastAsia="zh-CN" w:bidi="ar-SA"/>
        </w:rPr>
        <w:t>项目基本达到预期目标，对</w:t>
      </w:r>
      <w:r>
        <w:rPr>
          <w:rFonts w:hint="default" w:cs="Calibri"/>
          <w:b w:val="0"/>
          <w:bCs w:val="0"/>
          <w:color w:val="auto"/>
          <w:kern w:val="2"/>
          <w:sz w:val="32"/>
          <w:szCs w:val="21"/>
          <w:highlight w:val="none"/>
          <w:lang w:eastAsia="zh-CN" w:bidi="ar-SA"/>
        </w:rPr>
        <w:t>提升居民生活幸福度、城市形象和加深梅江苏区的历史记忆有一定的正向作用</w:t>
      </w:r>
      <w:r>
        <w:rPr>
          <w:rFonts w:hint="eastAsia" w:cs="Calibri"/>
          <w:b w:val="0"/>
          <w:bCs w:val="0"/>
          <w:color w:val="auto"/>
          <w:kern w:val="2"/>
          <w:sz w:val="32"/>
          <w:szCs w:val="21"/>
          <w:highlight w:val="none"/>
          <w:lang w:val="en-US" w:eastAsia="zh-CN" w:bidi="ar-SA"/>
        </w:rPr>
        <w:t>。但</w:t>
      </w:r>
      <w:r>
        <w:rPr>
          <w:rFonts w:hint="default" w:cs="Calibri"/>
          <w:b w:val="0"/>
          <w:bCs w:val="0"/>
          <w:color w:val="auto"/>
          <w:kern w:val="2"/>
          <w:sz w:val="32"/>
          <w:szCs w:val="21"/>
          <w:highlight w:val="none"/>
          <w:lang w:eastAsia="zh-CN" w:bidi="ar-SA"/>
        </w:rPr>
        <w:t>未能提供</w:t>
      </w:r>
      <w:r>
        <w:rPr>
          <w:rFonts w:hint="eastAsia" w:cs="Calibri"/>
          <w:b w:val="0"/>
          <w:bCs w:val="0"/>
          <w:color w:val="auto"/>
          <w:kern w:val="2"/>
          <w:sz w:val="32"/>
          <w:szCs w:val="21"/>
          <w:highlight w:val="none"/>
          <w:lang w:eastAsia="zh-CN" w:bidi="ar-SA"/>
        </w:rPr>
        <w:t>“</w:t>
      </w:r>
      <w:r>
        <w:rPr>
          <w:rFonts w:hint="default" w:cs="Calibri"/>
          <w:b w:val="0"/>
          <w:bCs w:val="0"/>
          <w:color w:val="auto"/>
          <w:kern w:val="2"/>
          <w:sz w:val="32"/>
          <w:szCs w:val="21"/>
          <w:highlight w:val="none"/>
          <w:lang w:val="en-US" w:eastAsia="zh-CN" w:bidi="ar-SA"/>
        </w:rPr>
        <w:t>各村社区创文、疫情防控、抢险救灾支出，望杏坊建设工作经费，办事处创文、疫情防控支出</w:t>
      </w:r>
      <w:r>
        <w:rPr>
          <w:rFonts w:hint="eastAsia" w:cs="Calibri"/>
          <w:b w:val="0"/>
          <w:bCs w:val="0"/>
          <w:color w:val="auto"/>
          <w:kern w:val="2"/>
          <w:sz w:val="32"/>
          <w:szCs w:val="21"/>
          <w:highlight w:val="none"/>
          <w:lang w:eastAsia="zh-CN" w:bidi="ar-SA"/>
        </w:rPr>
        <w:t>”</w:t>
      </w:r>
      <w:r>
        <w:rPr>
          <w:rFonts w:hint="default" w:cs="Calibri"/>
          <w:b w:val="0"/>
          <w:bCs w:val="0"/>
          <w:color w:val="auto"/>
          <w:kern w:val="2"/>
          <w:sz w:val="32"/>
          <w:szCs w:val="21"/>
          <w:highlight w:val="none"/>
          <w:lang w:eastAsia="zh-CN" w:bidi="ar-SA"/>
        </w:rPr>
        <w:t>项目的自评表和相应的佐证材料</w:t>
      </w:r>
      <w:r>
        <w:rPr>
          <w:rFonts w:hint="eastAsia" w:cs="Calibri"/>
          <w:b w:val="0"/>
          <w:bCs w:val="0"/>
          <w:color w:val="auto"/>
          <w:kern w:val="2"/>
          <w:sz w:val="32"/>
          <w:szCs w:val="21"/>
          <w:highlight w:val="none"/>
          <w:lang w:val="en-US" w:eastAsia="zh-CN" w:bidi="ar-SA"/>
        </w:rPr>
        <w:t>。</w:t>
      </w:r>
    </w:p>
    <w:p w14:paraId="69354BDB">
      <w:pPr>
        <w:bidi w:val="0"/>
        <w:ind w:left="0" w:leftChars="0" w:firstLine="640" w:firstLineChars="200"/>
        <w:jc w:val="left"/>
        <w:rPr>
          <w:rFonts w:hint="eastAsia" w:cs="Calibri"/>
          <w:b w:val="0"/>
          <w:bCs w:val="0"/>
          <w:color w:val="auto"/>
          <w:kern w:val="2"/>
          <w:sz w:val="32"/>
          <w:szCs w:val="21"/>
          <w:highlight w:val="none"/>
          <w:lang w:val="en-US" w:eastAsia="zh-CN" w:bidi="ar-SA"/>
        </w:rPr>
      </w:pPr>
    </w:p>
    <w:p w14:paraId="2224340E">
      <w:pPr>
        <w:bidi w:val="0"/>
        <w:ind w:left="0" w:leftChars="0" w:firstLine="0" w:firstLineChars="0"/>
        <w:jc w:val="center"/>
        <w:rPr>
          <w:rFonts w:hint="default" w:ascii="华文中宋" w:hAnsi="华文中宋" w:eastAsia="华文中宋" w:cs="华文中宋"/>
          <w:color w:val="auto"/>
          <w:sz w:val="28"/>
          <w:szCs w:val="20"/>
          <w:highlight w:val="none"/>
          <w:lang w:val="en-US" w:eastAsia="zh-CN"/>
        </w:rPr>
      </w:pPr>
      <w:r>
        <w:rPr>
          <w:rFonts w:hint="eastAsia" w:ascii="华文中宋" w:hAnsi="华文中宋" w:eastAsia="华文中宋" w:cs="华文中宋"/>
          <w:color w:val="auto"/>
          <w:sz w:val="28"/>
          <w:szCs w:val="20"/>
          <w:highlight w:val="none"/>
          <w:lang w:val="en-US" w:eastAsia="zh-CN"/>
        </w:rPr>
        <w:t>表</w:t>
      </w:r>
      <w:r>
        <w:rPr>
          <w:rFonts w:hint="default" w:ascii="Times New Roman" w:hAnsi="Times New Roman" w:eastAsia="华文中宋" w:cs="Times New Roman"/>
          <w:color w:val="auto"/>
          <w:sz w:val="28"/>
          <w:szCs w:val="20"/>
          <w:highlight w:val="none"/>
          <w:lang w:eastAsia="zh-CN"/>
        </w:rPr>
        <w:t>2</w:t>
      </w:r>
      <w:r>
        <w:rPr>
          <w:rFonts w:hint="eastAsia" w:ascii="华文中宋" w:hAnsi="华文中宋" w:eastAsia="华文中宋" w:cs="华文中宋"/>
          <w:color w:val="auto"/>
          <w:sz w:val="28"/>
          <w:szCs w:val="20"/>
          <w:highlight w:val="none"/>
          <w:lang w:val="en-US" w:eastAsia="zh-CN"/>
        </w:rPr>
        <w:t xml:space="preserve"> </w:t>
      </w:r>
      <w:r>
        <w:rPr>
          <w:rFonts w:hint="default" w:ascii="华文中宋" w:hAnsi="华文中宋" w:eastAsia="华文中宋" w:cs="华文中宋"/>
          <w:color w:val="auto"/>
          <w:sz w:val="28"/>
          <w:szCs w:val="20"/>
          <w:highlight w:val="none"/>
          <w:lang w:val="en-US" w:eastAsia="zh-CN"/>
        </w:rPr>
        <w:t>执行情况表</w:t>
      </w:r>
    </w:p>
    <w:tbl>
      <w:tblPr>
        <w:tblStyle w:val="22"/>
        <w:tblW w:w="8742"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0"/>
        <w:gridCol w:w="3568"/>
        <w:gridCol w:w="1458"/>
        <w:gridCol w:w="1489"/>
        <w:gridCol w:w="1327"/>
      </w:tblGrid>
      <w:tr w14:paraId="1DEF6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7" w:hRule="atLeast"/>
        </w:trPr>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5D822">
            <w:pPr>
              <w:keepNext w:val="0"/>
              <w:keepLines w:val="0"/>
              <w:widowControl/>
              <w:suppressLineNumbers w:val="0"/>
              <w:spacing w:line="240" w:lineRule="auto"/>
              <w:ind w:left="0" w:leftChars="0" w:firstLine="0" w:firstLineChars="0"/>
              <w:jc w:val="center"/>
              <w:textAlignment w:val="center"/>
              <w:rPr>
                <w:rFonts w:hint="eastAsia"/>
                <w:b/>
                <w:bCs/>
                <w:color w:val="auto"/>
                <w:sz w:val="24"/>
                <w:szCs w:val="24"/>
                <w:highlight w:val="none"/>
                <w:lang w:val="en-US" w:eastAsia="zh-CN"/>
              </w:rPr>
            </w:pPr>
            <w:r>
              <w:rPr>
                <w:rFonts w:hint="eastAsia"/>
                <w:b/>
                <w:bCs/>
                <w:color w:val="auto"/>
                <w:sz w:val="24"/>
                <w:szCs w:val="24"/>
                <w:highlight w:val="none"/>
                <w:lang w:val="en-US" w:eastAsia="zh-CN"/>
              </w:rPr>
              <w:t>序号</w:t>
            </w:r>
          </w:p>
        </w:tc>
        <w:tc>
          <w:tcPr>
            <w:tcW w:w="20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A4D79">
            <w:pPr>
              <w:keepNext w:val="0"/>
              <w:keepLines w:val="0"/>
              <w:widowControl/>
              <w:suppressLineNumbers w:val="0"/>
              <w:spacing w:line="240" w:lineRule="auto"/>
              <w:ind w:left="0" w:leftChars="0" w:firstLine="0" w:firstLineChars="0"/>
              <w:jc w:val="center"/>
              <w:textAlignment w:val="center"/>
              <w:rPr>
                <w:rFonts w:hint="eastAsia"/>
                <w:b/>
                <w:bCs/>
                <w:color w:val="auto"/>
                <w:sz w:val="24"/>
                <w:szCs w:val="24"/>
                <w:highlight w:val="none"/>
                <w:lang w:val="en-US" w:eastAsia="zh-CN"/>
              </w:rPr>
            </w:pPr>
            <w:r>
              <w:rPr>
                <w:rFonts w:hint="eastAsia"/>
                <w:b/>
                <w:bCs/>
                <w:color w:val="auto"/>
                <w:sz w:val="24"/>
                <w:szCs w:val="24"/>
                <w:highlight w:val="none"/>
                <w:lang w:val="en-US" w:eastAsia="zh-CN"/>
              </w:rPr>
              <w:t>项目名称</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83AA3">
            <w:pPr>
              <w:keepNext w:val="0"/>
              <w:keepLines w:val="0"/>
              <w:widowControl/>
              <w:suppressLineNumbers w:val="0"/>
              <w:spacing w:line="240" w:lineRule="auto"/>
              <w:ind w:left="0" w:leftChars="0" w:firstLine="0" w:firstLineChars="0"/>
              <w:jc w:val="center"/>
              <w:textAlignment w:val="center"/>
              <w:rPr>
                <w:rFonts w:hint="eastAsia"/>
                <w:b/>
                <w:bCs/>
                <w:color w:val="auto"/>
                <w:sz w:val="24"/>
                <w:szCs w:val="24"/>
                <w:highlight w:val="none"/>
                <w:lang w:val="en-US" w:eastAsia="zh-CN"/>
              </w:rPr>
            </w:pPr>
            <w:r>
              <w:rPr>
                <w:rFonts w:hint="eastAsia"/>
                <w:b/>
                <w:bCs/>
                <w:color w:val="auto"/>
                <w:sz w:val="24"/>
                <w:szCs w:val="24"/>
                <w:highlight w:val="none"/>
                <w:lang w:val="en-US" w:eastAsia="zh-CN"/>
              </w:rPr>
              <w:t>预算金额（万元）</w:t>
            </w:r>
          </w:p>
        </w:tc>
        <w:tc>
          <w:tcPr>
            <w:tcW w:w="8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9B35A">
            <w:pPr>
              <w:keepNext w:val="0"/>
              <w:keepLines w:val="0"/>
              <w:widowControl/>
              <w:suppressLineNumbers w:val="0"/>
              <w:spacing w:line="240" w:lineRule="auto"/>
              <w:ind w:left="0" w:leftChars="0" w:firstLine="0" w:firstLineChars="0"/>
              <w:jc w:val="center"/>
              <w:textAlignment w:val="center"/>
              <w:rPr>
                <w:rFonts w:hint="default"/>
                <w:b/>
                <w:bCs/>
                <w:color w:val="auto"/>
                <w:sz w:val="24"/>
                <w:szCs w:val="24"/>
                <w:highlight w:val="none"/>
                <w:lang w:val="en-US" w:eastAsia="zh-CN"/>
              </w:rPr>
            </w:pPr>
            <w:r>
              <w:rPr>
                <w:rFonts w:hint="eastAsia"/>
                <w:b/>
                <w:bCs/>
                <w:color w:val="auto"/>
                <w:sz w:val="24"/>
                <w:szCs w:val="24"/>
                <w:highlight w:val="none"/>
                <w:lang w:val="en-US" w:eastAsia="zh-CN"/>
              </w:rPr>
              <w:t>金额占比</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9DC4A">
            <w:pPr>
              <w:keepNext w:val="0"/>
              <w:keepLines w:val="0"/>
              <w:widowControl/>
              <w:suppressLineNumbers w:val="0"/>
              <w:spacing w:line="240" w:lineRule="auto"/>
              <w:ind w:left="0" w:leftChars="0" w:firstLine="0" w:firstLineChars="0"/>
              <w:jc w:val="center"/>
              <w:textAlignment w:val="center"/>
              <w:rPr>
                <w:rFonts w:hint="eastAsia"/>
                <w:b/>
                <w:bCs/>
                <w:color w:val="auto"/>
                <w:sz w:val="24"/>
                <w:szCs w:val="24"/>
                <w:highlight w:val="none"/>
                <w:lang w:val="en-US" w:eastAsia="zh-CN"/>
              </w:rPr>
            </w:pPr>
            <w:r>
              <w:rPr>
                <w:rFonts w:hint="eastAsia"/>
                <w:b/>
                <w:bCs/>
                <w:color w:val="auto"/>
                <w:sz w:val="24"/>
                <w:szCs w:val="24"/>
                <w:highlight w:val="none"/>
                <w:lang w:val="en-US" w:eastAsia="zh-CN"/>
              </w:rPr>
              <w:t>评价分数</w:t>
            </w:r>
          </w:p>
        </w:tc>
      </w:tr>
      <w:tr w14:paraId="73B69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9" w:hRule="atLeast"/>
        </w:trPr>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A27F2">
            <w:pPr>
              <w:keepNext w:val="0"/>
              <w:keepLines w:val="0"/>
              <w:widowControl/>
              <w:suppressLineNumbers w:val="0"/>
              <w:spacing w:line="240" w:lineRule="auto"/>
              <w:ind w:left="0" w:leftChars="0" w:firstLine="0" w:firstLineChars="0"/>
              <w:jc w:val="center"/>
              <w:textAlignment w:val="center"/>
              <w:rPr>
                <w:rFonts w:hint="eastAsia"/>
                <w:color w:val="auto"/>
                <w:sz w:val="24"/>
                <w:szCs w:val="24"/>
                <w:highlight w:val="none"/>
                <w:lang w:val="en-US" w:eastAsia="zh-CN"/>
              </w:rPr>
            </w:pPr>
            <w:r>
              <w:rPr>
                <w:rFonts w:hint="eastAsia"/>
                <w:color w:val="auto"/>
                <w:sz w:val="24"/>
                <w:szCs w:val="24"/>
                <w:highlight w:val="none"/>
                <w:lang w:val="en-US" w:eastAsia="zh-CN"/>
              </w:rPr>
              <w:t>1</w:t>
            </w:r>
          </w:p>
        </w:tc>
        <w:tc>
          <w:tcPr>
            <w:tcW w:w="20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82589">
            <w:pPr>
              <w:keepNext w:val="0"/>
              <w:keepLines w:val="0"/>
              <w:widowControl/>
              <w:suppressLineNumbers w:val="0"/>
              <w:spacing w:line="240" w:lineRule="auto"/>
              <w:ind w:left="0" w:leftChars="0" w:firstLine="0" w:firstLineChars="0"/>
              <w:jc w:val="center"/>
              <w:textAlignment w:val="center"/>
              <w:rPr>
                <w:rFonts w:hint="eastAsia"/>
                <w:color w:val="auto"/>
                <w:sz w:val="24"/>
                <w:szCs w:val="24"/>
                <w:highlight w:val="none"/>
                <w:lang w:val="en-US" w:eastAsia="zh-CN"/>
              </w:rPr>
            </w:pPr>
            <w:r>
              <w:rPr>
                <w:rFonts w:hint="default"/>
                <w:color w:val="auto"/>
                <w:sz w:val="24"/>
                <w:szCs w:val="24"/>
                <w:highlight w:val="none"/>
                <w:lang w:val="en-US" w:eastAsia="zh-CN"/>
              </w:rPr>
              <w:t>各村社区创文、疫情防控、抢险救灾支出，望杏坊建设工作经费，办事处创文、疫情防控支出</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5228D">
            <w:pPr>
              <w:keepNext w:val="0"/>
              <w:keepLines w:val="0"/>
              <w:widowControl/>
              <w:suppressLineNumbers w:val="0"/>
              <w:spacing w:line="240" w:lineRule="auto"/>
              <w:ind w:left="0" w:leftChars="0" w:firstLine="0" w:firstLineChars="0"/>
              <w:jc w:val="center"/>
              <w:textAlignment w:val="center"/>
              <w:rPr>
                <w:rFonts w:hint="eastAsia"/>
                <w:color w:val="auto"/>
                <w:sz w:val="24"/>
                <w:szCs w:val="24"/>
                <w:highlight w:val="none"/>
                <w:lang w:val="en-US" w:eastAsia="zh-CN"/>
              </w:rPr>
            </w:pPr>
            <w:r>
              <w:rPr>
                <w:rFonts w:hint="default"/>
                <w:color w:val="auto"/>
                <w:sz w:val="24"/>
                <w:szCs w:val="24"/>
                <w:highlight w:val="none"/>
                <w:lang w:val="en-US" w:eastAsia="zh-CN"/>
              </w:rPr>
              <w:t>209.04</w:t>
            </w:r>
          </w:p>
        </w:tc>
        <w:tc>
          <w:tcPr>
            <w:tcW w:w="8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60543">
            <w:pPr>
              <w:keepNext w:val="0"/>
              <w:keepLines w:val="0"/>
              <w:widowControl/>
              <w:suppressLineNumbers w:val="0"/>
              <w:spacing w:line="240" w:lineRule="auto"/>
              <w:ind w:left="0" w:leftChars="0" w:firstLine="0" w:firstLineChars="0"/>
              <w:jc w:val="center"/>
              <w:textAlignment w:val="center"/>
              <w:rPr>
                <w:rFonts w:hint="default"/>
                <w:color w:val="auto"/>
                <w:sz w:val="24"/>
                <w:szCs w:val="24"/>
                <w:highlight w:val="none"/>
                <w:lang w:eastAsia="zh-CN"/>
              </w:rPr>
            </w:pPr>
            <w:r>
              <w:rPr>
                <w:rFonts w:hint="default"/>
                <w:color w:val="auto"/>
                <w:sz w:val="24"/>
                <w:szCs w:val="24"/>
                <w:highlight w:val="none"/>
                <w:lang w:eastAsia="zh-CN"/>
              </w:rPr>
              <w:t>64.37%</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A2581">
            <w:pPr>
              <w:keepNext w:val="0"/>
              <w:keepLines w:val="0"/>
              <w:widowControl/>
              <w:suppressLineNumbers w:val="0"/>
              <w:spacing w:line="240" w:lineRule="auto"/>
              <w:ind w:left="0" w:leftChars="0" w:firstLine="0" w:firstLineChars="0"/>
              <w:jc w:val="center"/>
              <w:textAlignment w:val="center"/>
              <w:rPr>
                <w:rFonts w:hint="default"/>
                <w:color w:val="auto"/>
                <w:sz w:val="24"/>
                <w:szCs w:val="24"/>
                <w:highlight w:val="none"/>
                <w:lang w:eastAsia="zh-CN"/>
              </w:rPr>
            </w:pPr>
            <w:r>
              <w:rPr>
                <w:rFonts w:hint="default"/>
                <w:color w:val="auto"/>
                <w:sz w:val="24"/>
                <w:szCs w:val="24"/>
                <w:highlight w:val="none"/>
                <w:lang w:eastAsia="zh-CN"/>
              </w:rPr>
              <w:t>0</w:t>
            </w:r>
          </w:p>
        </w:tc>
      </w:tr>
      <w:tr w14:paraId="5E76E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149F9">
            <w:pPr>
              <w:keepNext w:val="0"/>
              <w:keepLines w:val="0"/>
              <w:widowControl/>
              <w:suppressLineNumbers w:val="0"/>
              <w:spacing w:line="240" w:lineRule="auto"/>
              <w:ind w:left="0" w:leftChars="0" w:firstLine="0" w:firstLineChars="0"/>
              <w:jc w:val="center"/>
              <w:textAlignment w:val="center"/>
              <w:rPr>
                <w:rFonts w:hint="eastAsia"/>
                <w:color w:val="auto"/>
                <w:sz w:val="24"/>
                <w:szCs w:val="24"/>
                <w:highlight w:val="none"/>
                <w:lang w:val="en-US" w:eastAsia="zh-CN"/>
              </w:rPr>
            </w:pPr>
            <w:r>
              <w:rPr>
                <w:rFonts w:hint="eastAsia"/>
                <w:color w:val="auto"/>
                <w:sz w:val="24"/>
                <w:szCs w:val="24"/>
                <w:highlight w:val="none"/>
                <w:lang w:val="en-US" w:eastAsia="zh-CN"/>
              </w:rPr>
              <w:t>2</w:t>
            </w:r>
          </w:p>
        </w:tc>
        <w:tc>
          <w:tcPr>
            <w:tcW w:w="20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68A97">
            <w:pPr>
              <w:keepNext w:val="0"/>
              <w:keepLines w:val="0"/>
              <w:widowControl/>
              <w:suppressLineNumbers w:val="0"/>
              <w:spacing w:line="240" w:lineRule="auto"/>
              <w:ind w:left="0" w:leftChars="0" w:firstLine="0" w:firstLineChars="0"/>
              <w:jc w:val="center"/>
              <w:textAlignment w:val="center"/>
              <w:rPr>
                <w:rFonts w:hint="eastAsia"/>
                <w:color w:val="auto"/>
                <w:sz w:val="24"/>
                <w:szCs w:val="24"/>
                <w:highlight w:val="none"/>
                <w:lang w:val="en-US" w:eastAsia="zh-CN"/>
              </w:rPr>
            </w:pPr>
            <w:r>
              <w:rPr>
                <w:rFonts w:hint="default"/>
                <w:color w:val="auto"/>
                <w:sz w:val="24"/>
                <w:szCs w:val="24"/>
                <w:highlight w:val="none"/>
                <w:lang w:val="en-US" w:eastAsia="zh-CN"/>
              </w:rPr>
              <w:t>月影塘社区县委宿舍老旧小区改造及周边历史建筑修缮工程</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0B6F0">
            <w:pPr>
              <w:keepNext w:val="0"/>
              <w:keepLines w:val="0"/>
              <w:widowControl/>
              <w:suppressLineNumbers w:val="0"/>
              <w:spacing w:line="240" w:lineRule="auto"/>
              <w:ind w:left="0" w:leftChars="0" w:firstLine="0" w:firstLineChars="0"/>
              <w:jc w:val="center"/>
              <w:textAlignment w:val="center"/>
              <w:rPr>
                <w:rFonts w:hint="eastAsia"/>
                <w:color w:val="auto"/>
                <w:sz w:val="24"/>
                <w:szCs w:val="24"/>
                <w:highlight w:val="none"/>
                <w:lang w:val="en-US" w:eastAsia="zh-CN"/>
              </w:rPr>
            </w:pPr>
            <w:r>
              <w:rPr>
                <w:rFonts w:hint="default"/>
                <w:color w:val="auto"/>
                <w:sz w:val="24"/>
                <w:szCs w:val="24"/>
                <w:highlight w:val="none"/>
                <w:lang w:val="en-US" w:eastAsia="zh-CN"/>
              </w:rPr>
              <w:t>11.23</w:t>
            </w:r>
          </w:p>
        </w:tc>
        <w:tc>
          <w:tcPr>
            <w:tcW w:w="8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FF914">
            <w:pPr>
              <w:keepNext w:val="0"/>
              <w:keepLines w:val="0"/>
              <w:widowControl/>
              <w:suppressLineNumbers w:val="0"/>
              <w:spacing w:line="240" w:lineRule="auto"/>
              <w:ind w:left="0" w:leftChars="0" w:firstLine="0" w:firstLineChars="0"/>
              <w:jc w:val="center"/>
              <w:textAlignment w:val="center"/>
              <w:rPr>
                <w:rFonts w:hint="default"/>
                <w:color w:val="auto"/>
                <w:sz w:val="24"/>
                <w:szCs w:val="24"/>
                <w:highlight w:val="none"/>
                <w:lang w:eastAsia="zh-CN"/>
              </w:rPr>
            </w:pPr>
            <w:r>
              <w:rPr>
                <w:rFonts w:hint="default"/>
                <w:color w:val="auto"/>
                <w:sz w:val="24"/>
                <w:szCs w:val="24"/>
                <w:highlight w:val="none"/>
                <w:lang w:eastAsia="zh-CN"/>
              </w:rPr>
              <w:t>3.46%</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B04A0">
            <w:pPr>
              <w:keepNext w:val="0"/>
              <w:keepLines w:val="0"/>
              <w:widowControl/>
              <w:suppressLineNumbers w:val="0"/>
              <w:spacing w:line="240" w:lineRule="auto"/>
              <w:ind w:left="0" w:leftChars="0" w:firstLine="0" w:firstLineChars="0"/>
              <w:jc w:val="center"/>
              <w:textAlignment w:val="center"/>
              <w:rPr>
                <w:rFonts w:hint="default"/>
                <w:color w:val="auto"/>
                <w:sz w:val="24"/>
                <w:szCs w:val="24"/>
                <w:highlight w:val="none"/>
                <w:lang w:eastAsia="zh-CN"/>
              </w:rPr>
            </w:pPr>
            <w:r>
              <w:rPr>
                <w:rFonts w:hint="default"/>
                <w:color w:val="auto"/>
                <w:sz w:val="24"/>
                <w:szCs w:val="24"/>
                <w:highlight w:val="none"/>
                <w:lang w:eastAsia="zh-CN"/>
              </w:rPr>
              <w:t>95</w:t>
            </w:r>
          </w:p>
        </w:tc>
      </w:tr>
      <w:tr w14:paraId="0E823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663AC">
            <w:pPr>
              <w:keepNext w:val="0"/>
              <w:keepLines w:val="0"/>
              <w:widowControl/>
              <w:suppressLineNumbers w:val="0"/>
              <w:spacing w:line="240" w:lineRule="auto"/>
              <w:ind w:left="0" w:leftChars="0" w:firstLine="0" w:firstLineChars="0"/>
              <w:jc w:val="center"/>
              <w:textAlignment w:val="center"/>
              <w:rPr>
                <w:rFonts w:hint="eastAsia"/>
                <w:color w:val="auto"/>
                <w:sz w:val="24"/>
                <w:szCs w:val="24"/>
                <w:highlight w:val="none"/>
                <w:lang w:val="en-US" w:eastAsia="zh-CN"/>
              </w:rPr>
            </w:pPr>
            <w:r>
              <w:rPr>
                <w:rFonts w:hint="eastAsia"/>
                <w:color w:val="auto"/>
                <w:sz w:val="24"/>
                <w:szCs w:val="24"/>
                <w:highlight w:val="none"/>
                <w:lang w:val="en-US" w:eastAsia="zh-CN"/>
              </w:rPr>
              <w:t>3</w:t>
            </w:r>
          </w:p>
        </w:tc>
        <w:tc>
          <w:tcPr>
            <w:tcW w:w="20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2DCEF">
            <w:pPr>
              <w:keepNext w:val="0"/>
              <w:keepLines w:val="0"/>
              <w:widowControl/>
              <w:suppressLineNumbers w:val="0"/>
              <w:spacing w:line="240" w:lineRule="auto"/>
              <w:ind w:left="0" w:leftChars="0" w:firstLine="0" w:firstLineChars="0"/>
              <w:jc w:val="center"/>
              <w:textAlignment w:val="center"/>
              <w:rPr>
                <w:rFonts w:hint="eastAsia"/>
                <w:color w:val="auto"/>
                <w:sz w:val="24"/>
                <w:szCs w:val="24"/>
                <w:highlight w:val="none"/>
                <w:lang w:val="en-US" w:eastAsia="zh-CN"/>
              </w:rPr>
            </w:pPr>
            <w:r>
              <w:rPr>
                <w:rFonts w:hint="default"/>
                <w:color w:val="auto"/>
                <w:sz w:val="24"/>
                <w:szCs w:val="24"/>
                <w:highlight w:val="none"/>
                <w:lang w:val="en-US" w:eastAsia="zh-CN"/>
              </w:rPr>
              <w:t>梅江区西郊街道勤力苑老旧小区周边背街小巷道路整治提升</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C1CCD">
            <w:pPr>
              <w:keepNext w:val="0"/>
              <w:keepLines w:val="0"/>
              <w:widowControl/>
              <w:suppressLineNumbers w:val="0"/>
              <w:spacing w:line="240" w:lineRule="auto"/>
              <w:ind w:left="0" w:leftChars="0" w:firstLine="0" w:firstLineChars="0"/>
              <w:jc w:val="center"/>
              <w:textAlignment w:val="center"/>
              <w:rPr>
                <w:rFonts w:hint="eastAsia"/>
                <w:color w:val="auto"/>
                <w:sz w:val="24"/>
                <w:szCs w:val="24"/>
                <w:highlight w:val="none"/>
                <w:lang w:val="en-US" w:eastAsia="zh-CN"/>
              </w:rPr>
            </w:pPr>
            <w:r>
              <w:rPr>
                <w:rFonts w:hint="default"/>
                <w:color w:val="auto"/>
                <w:sz w:val="24"/>
                <w:szCs w:val="24"/>
                <w:highlight w:val="none"/>
                <w:lang w:val="en-US" w:eastAsia="zh-CN"/>
              </w:rPr>
              <w:t>37.89</w:t>
            </w:r>
          </w:p>
        </w:tc>
        <w:tc>
          <w:tcPr>
            <w:tcW w:w="8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4A13E">
            <w:pPr>
              <w:keepNext w:val="0"/>
              <w:keepLines w:val="0"/>
              <w:widowControl/>
              <w:suppressLineNumbers w:val="0"/>
              <w:spacing w:line="240" w:lineRule="auto"/>
              <w:ind w:left="0" w:leftChars="0" w:firstLine="0" w:firstLineChars="0"/>
              <w:jc w:val="center"/>
              <w:textAlignment w:val="center"/>
              <w:rPr>
                <w:rFonts w:hint="default"/>
                <w:color w:val="auto"/>
                <w:sz w:val="24"/>
                <w:szCs w:val="24"/>
                <w:highlight w:val="none"/>
                <w:lang w:eastAsia="zh-CN"/>
              </w:rPr>
            </w:pPr>
            <w:r>
              <w:rPr>
                <w:rFonts w:hint="default"/>
                <w:color w:val="auto"/>
                <w:sz w:val="24"/>
                <w:szCs w:val="24"/>
                <w:highlight w:val="none"/>
                <w:lang w:eastAsia="zh-CN"/>
              </w:rPr>
              <w:t>11.67%</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44C1E">
            <w:pPr>
              <w:keepNext w:val="0"/>
              <w:keepLines w:val="0"/>
              <w:widowControl/>
              <w:suppressLineNumbers w:val="0"/>
              <w:spacing w:line="240" w:lineRule="auto"/>
              <w:ind w:left="0" w:leftChars="0" w:firstLine="0" w:firstLineChars="0"/>
              <w:jc w:val="center"/>
              <w:textAlignment w:val="center"/>
              <w:rPr>
                <w:rFonts w:hint="default"/>
                <w:color w:val="auto"/>
                <w:sz w:val="24"/>
                <w:szCs w:val="24"/>
                <w:highlight w:val="none"/>
                <w:lang w:eastAsia="zh-CN"/>
              </w:rPr>
            </w:pPr>
            <w:r>
              <w:rPr>
                <w:rFonts w:hint="default"/>
                <w:color w:val="auto"/>
                <w:sz w:val="24"/>
                <w:szCs w:val="24"/>
                <w:highlight w:val="none"/>
                <w:lang w:eastAsia="zh-CN"/>
              </w:rPr>
              <w:t>90</w:t>
            </w:r>
          </w:p>
        </w:tc>
      </w:tr>
      <w:tr w14:paraId="58988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2" w:hRule="atLeast"/>
        </w:trPr>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36888">
            <w:pPr>
              <w:keepNext w:val="0"/>
              <w:keepLines w:val="0"/>
              <w:widowControl/>
              <w:suppressLineNumbers w:val="0"/>
              <w:spacing w:line="240" w:lineRule="auto"/>
              <w:ind w:left="0" w:leftChars="0" w:firstLine="0" w:firstLineChars="0"/>
              <w:jc w:val="center"/>
              <w:textAlignment w:val="center"/>
              <w:rPr>
                <w:rFonts w:hint="default"/>
                <w:color w:val="auto"/>
                <w:sz w:val="24"/>
                <w:szCs w:val="24"/>
                <w:highlight w:val="none"/>
                <w:lang w:val="en-US" w:eastAsia="zh-CN"/>
              </w:rPr>
            </w:pPr>
            <w:r>
              <w:rPr>
                <w:rFonts w:hint="default"/>
                <w:color w:val="auto"/>
                <w:sz w:val="24"/>
                <w:szCs w:val="24"/>
                <w:highlight w:val="none"/>
                <w:lang w:val="en-US" w:eastAsia="zh-CN"/>
              </w:rPr>
              <w:t>4</w:t>
            </w:r>
          </w:p>
        </w:tc>
        <w:tc>
          <w:tcPr>
            <w:tcW w:w="20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B20B8">
            <w:pPr>
              <w:keepNext w:val="0"/>
              <w:keepLines w:val="0"/>
              <w:widowControl/>
              <w:suppressLineNumbers w:val="0"/>
              <w:spacing w:line="240" w:lineRule="auto"/>
              <w:ind w:left="0" w:leftChars="0" w:firstLine="0" w:firstLineChars="0"/>
              <w:jc w:val="center"/>
              <w:textAlignment w:val="center"/>
              <w:rPr>
                <w:rFonts w:hint="eastAsia"/>
                <w:color w:val="auto"/>
                <w:sz w:val="24"/>
                <w:szCs w:val="24"/>
                <w:highlight w:val="none"/>
                <w:lang w:val="en-US" w:eastAsia="zh-CN"/>
              </w:rPr>
            </w:pPr>
            <w:r>
              <w:rPr>
                <w:rFonts w:hint="default"/>
                <w:color w:val="auto"/>
                <w:sz w:val="24"/>
                <w:szCs w:val="24"/>
                <w:highlight w:val="none"/>
                <w:lang w:val="en-US" w:eastAsia="zh-CN"/>
              </w:rPr>
              <w:t>办事处属地管理的国有企业退休人员社会化管理补助支出</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25456">
            <w:pPr>
              <w:keepNext w:val="0"/>
              <w:keepLines w:val="0"/>
              <w:widowControl/>
              <w:suppressLineNumbers w:val="0"/>
              <w:spacing w:line="240" w:lineRule="auto"/>
              <w:ind w:left="0" w:leftChars="0" w:firstLine="0" w:firstLineChars="0"/>
              <w:jc w:val="center"/>
              <w:textAlignment w:val="center"/>
              <w:rPr>
                <w:rFonts w:hint="eastAsia"/>
                <w:color w:val="auto"/>
                <w:sz w:val="24"/>
                <w:szCs w:val="24"/>
                <w:highlight w:val="none"/>
                <w:lang w:val="en-US" w:eastAsia="zh-CN"/>
              </w:rPr>
            </w:pPr>
            <w:r>
              <w:rPr>
                <w:rFonts w:hint="default"/>
                <w:color w:val="auto"/>
                <w:sz w:val="24"/>
                <w:szCs w:val="24"/>
                <w:highlight w:val="none"/>
                <w:lang w:val="en-US" w:eastAsia="zh-CN"/>
              </w:rPr>
              <w:t>66.57</w:t>
            </w:r>
          </w:p>
        </w:tc>
        <w:tc>
          <w:tcPr>
            <w:tcW w:w="8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353E5">
            <w:pPr>
              <w:keepNext w:val="0"/>
              <w:keepLines w:val="0"/>
              <w:widowControl/>
              <w:suppressLineNumbers w:val="0"/>
              <w:spacing w:line="240" w:lineRule="auto"/>
              <w:ind w:left="0" w:leftChars="0" w:firstLine="0" w:firstLineChars="0"/>
              <w:jc w:val="center"/>
              <w:textAlignment w:val="center"/>
              <w:rPr>
                <w:rFonts w:hint="default"/>
                <w:color w:val="auto"/>
                <w:sz w:val="24"/>
                <w:szCs w:val="24"/>
                <w:highlight w:val="none"/>
                <w:lang w:eastAsia="zh-CN"/>
              </w:rPr>
            </w:pPr>
            <w:r>
              <w:rPr>
                <w:rFonts w:hint="default"/>
                <w:color w:val="auto"/>
                <w:sz w:val="24"/>
                <w:szCs w:val="24"/>
                <w:highlight w:val="none"/>
                <w:lang w:eastAsia="zh-CN"/>
              </w:rPr>
              <w:t>20.50%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51A76">
            <w:pPr>
              <w:keepNext w:val="0"/>
              <w:keepLines w:val="0"/>
              <w:widowControl/>
              <w:suppressLineNumbers w:val="0"/>
              <w:spacing w:line="240" w:lineRule="auto"/>
              <w:ind w:left="0" w:leftChars="0" w:firstLine="0" w:firstLineChars="0"/>
              <w:jc w:val="center"/>
              <w:textAlignment w:val="center"/>
              <w:rPr>
                <w:rFonts w:hint="default"/>
                <w:color w:val="auto"/>
                <w:sz w:val="24"/>
                <w:szCs w:val="24"/>
                <w:highlight w:val="none"/>
                <w:lang w:eastAsia="zh-CN"/>
              </w:rPr>
            </w:pPr>
            <w:r>
              <w:rPr>
                <w:rFonts w:hint="default"/>
                <w:color w:val="auto"/>
                <w:sz w:val="24"/>
                <w:szCs w:val="24"/>
                <w:highlight w:val="none"/>
                <w:lang w:eastAsia="zh-CN"/>
              </w:rPr>
              <w:t>90</w:t>
            </w:r>
          </w:p>
        </w:tc>
      </w:tr>
    </w:tbl>
    <w:p w14:paraId="312B8DAE">
      <w:pPr>
        <w:rPr>
          <w:rFonts w:hint="default"/>
          <w:color w:val="auto"/>
          <w:highlight w:val="none"/>
        </w:rPr>
      </w:pPr>
    </w:p>
    <w:p w14:paraId="5B128691">
      <w:pPr>
        <w:rPr>
          <w:rFonts w:hint="eastAsia" w:eastAsia="仿宋_GB2312"/>
          <w:color w:val="auto"/>
          <w:highlight w:val="none"/>
          <w:lang w:eastAsia="zh-CN"/>
        </w:rPr>
      </w:pPr>
      <w:r>
        <w:rPr>
          <w:rFonts w:hint="default"/>
          <w:color w:val="auto"/>
          <w:highlight w:val="none"/>
        </w:rPr>
        <w:t>（2）</w:t>
      </w:r>
      <w:r>
        <w:rPr>
          <w:rFonts w:hint="eastAsia"/>
          <w:color w:val="auto"/>
          <w:highlight w:val="none"/>
        </w:rPr>
        <w:t>项目实施程序</w:t>
      </w:r>
    </w:p>
    <w:p w14:paraId="10E2EB85">
      <w:pPr>
        <w:rPr>
          <w:rFonts w:hint="eastAsia"/>
          <w:color w:val="auto"/>
          <w:highlight w:val="none"/>
        </w:rPr>
      </w:pPr>
      <w:r>
        <w:rPr>
          <w:rFonts w:hint="eastAsia"/>
          <w:color w:val="auto"/>
          <w:highlight w:val="none"/>
          <w:lang w:val="en-US" w:eastAsia="zh-CN"/>
        </w:rPr>
        <w:t>评价组通过核查项目自评材料及开展现场访谈、调研，发现</w:t>
      </w:r>
      <w:r>
        <w:rPr>
          <w:rFonts w:hint="default"/>
          <w:color w:val="auto"/>
          <w:highlight w:val="none"/>
        </w:rPr>
        <w:t>西郊街道提供了重点项目</w:t>
      </w:r>
      <w:r>
        <w:rPr>
          <w:rFonts w:hint="eastAsia"/>
          <w:color w:val="auto"/>
          <w:highlight w:val="none"/>
          <w:lang w:eastAsia="zh-CN"/>
        </w:rPr>
        <w:t>“</w:t>
      </w:r>
      <w:r>
        <w:rPr>
          <w:rFonts w:hint="default"/>
          <w:color w:val="auto"/>
          <w:highlight w:val="none"/>
        </w:rPr>
        <w:t>金苑小区C区老旧小区周边及配套基础实施提升改造</w:t>
      </w:r>
      <w:r>
        <w:rPr>
          <w:rFonts w:hint="eastAsia"/>
          <w:color w:val="auto"/>
          <w:highlight w:val="none"/>
          <w:lang w:eastAsia="zh-CN"/>
        </w:rPr>
        <w:t>”</w:t>
      </w:r>
      <w:r>
        <w:rPr>
          <w:rFonts w:hint="default"/>
          <w:color w:val="auto"/>
          <w:highlight w:val="none"/>
        </w:rPr>
        <w:t>和</w:t>
      </w:r>
      <w:r>
        <w:rPr>
          <w:rFonts w:hint="eastAsia"/>
          <w:color w:val="auto"/>
          <w:highlight w:val="none"/>
          <w:lang w:eastAsia="zh-CN"/>
        </w:rPr>
        <w:t>“</w:t>
      </w:r>
      <w:r>
        <w:rPr>
          <w:rFonts w:hint="default"/>
          <w:color w:val="auto"/>
          <w:highlight w:val="none"/>
        </w:rPr>
        <w:t>月影塘社区县委宿舍老旧小区改造及周边历史建筑修缮工程</w:t>
      </w:r>
      <w:r>
        <w:rPr>
          <w:rFonts w:hint="eastAsia"/>
          <w:color w:val="auto"/>
          <w:highlight w:val="none"/>
          <w:lang w:eastAsia="zh-CN"/>
        </w:rPr>
        <w:t>”</w:t>
      </w:r>
      <w:r>
        <w:rPr>
          <w:rFonts w:hint="default"/>
          <w:color w:val="auto"/>
          <w:highlight w:val="none"/>
        </w:rPr>
        <w:t>的资料。“月影塘社区县委宿舍老旧小区改造及周边历史建筑修缮工程”重点项目通过正常的招投标流程确定施工企业为广东冠诺建设工程有限公司，项目付款方式为分期支付，分为三笔支付。资料明确的展示了项目符合申报条件；项目的申报、批复程序符合相关管理办法；项目招投标、调整、完成验收等履行了相应手续。但另外一个项目的资料未能反映项目实施的程序符合流程。</w:t>
      </w:r>
    </w:p>
    <w:p w14:paraId="4A449FC8">
      <w:pPr>
        <w:rPr>
          <w:rFonts w:hint="eastAsia" w:eastAsia="仿宋_GB2312"/>
          <w:color w:val="auto"/>
          <w:highlight w:val="none"/>
          <w:lang w:eastAsia="zh-CN"/>
        </w:rPr>
      </w:pPr>
      <w:r>
        <w:rPr>
          <w:rFonts w:hint="default"/>
          <w:color w:val="auto"/>
          <w:highlight w:val="none"/>
        </w:rPr>
        <w:t>（3）</w:t>
      </w:r>
      <w:r>
        <w:rPr>
          <w:rFonts w:hint="eastAsia"/>
          <w:color w:val="auto"/>
          <w:highlight w:val="none"/>
        </w:rPr>
        <w:t>项目监管</w:t>
      </w:r>
    </w:p>
    <w:p w14:paraId="586E7E68">
      <w:pPr>
        <w:bidi w:val="0"/>
        <w:rPr>
          <w:rFonts w:hint="default"/>
          <w:color w:val="auto"/>
          <w:highlight w:val="none"/>
          <w:lang w:val="en-US" w:eastAsia="zh-CN"/>
        </w:rPr>
      </w:pPr>
      <w:r>
        <w:rPr>
          <w:rFonts w:hint="default"/>
          <w:color w:val="auto"/>
          <w:highlight w:val="none"/>
          <w:lang w:eastAsia="zh-CN"/>
        </w:rPr>
        <w:t>部分在重点项目监管方面，</w:t>
      </w:r>
      <w:r>
        <w:rPr>
          <w:rFonts w:hint="default"/>
          <w:color w:val="auto"/>
          <w:highlight w:val="none"/>
        </w:rPr>
        <w:t>“月影塘社区县委宿舍老旧小区改造及周边历史建筑修缮工程”项目聘请了梅州市居安建筑工程施工图审查中心有限责任公司对施工图纸进行了审查</w:t>
      </w:r>
      <w:r>
        <w:rPr>
          <w:rFonts w:hint="eastAsia"/>
          <w:color w:val="auto"/>
          <w:highlight w:val="none"/>
          <w:lang w:eastAsia="zh-CN"/>
        </w:rPr>
        <w:t>；</w:t>
      </w:r>
      <w:r>
        <w:rPr>
          <w:rFonts w:hint="eastAsia"/>
          <w:color w:val="auto"/>
          <w:highlight w:val="none"/>
          <w:lang w:val="en-US" w:eastAsia="zh-CN"/>
        </w:rPr>
        <w:t>通过</w:t>
      </w:r>
      <w:r>
        <w:rPr>
          <w:rFonts w:hint="default"/>
          <w:color w:val="auto"/>
          <w:highlight w:val="none"/>
        </w:rPr>
        <w:t>聘请建设监理公司，对整个施工项目的全过程进行了监理</w:t>
      </w:r>
      <w:r>
        <w:rPr>
          <w:rFonts w:hint="eastAsia"/>
          <w:color w:val="auto"/>
          <w:highlight w:val="none"/>
          <w:lang w:eastAsia="zh-CN"/>
        </w:rPr>
        <w:t>；</w:t>
      </w:r>
      <w:r>
        <w:rPr>
          <w:rFonts w:hint="eastAsia"/>
          <w:color w:val="auto"/>
          <w:highlight w:val="none"/>
          <w:lang w:val="en-US" w:eastAsia="zh-CN"/>
        </w:rPr>
        <w:t>并在2023年1月经过建设单位、监理单位、施工单位、设计单位参与的多方验收工作，项目监管较为到位</w:t>
      </w:r>
      <w:r>
        <w:rPr>
          <w:rFonts w:hint="default"/>
          <w:color w:val="auto"/>
          <w:highlight w:val="none"/>
        </w:rPr>
        <w:t>。</w:t>
      </w:r>
      <w:r>
        <w:rPr>
          <w:rFonts w:hint="eastAsia" w:ascii="Calibri" w:hAnsi="Calibri" w:cs="Calibri"/>
          <w:color w:val="auto"/>
          <w:szCs w:val="20"/>
          <w:highlight w:val="none"/>
          <w:lang w:val="en-US" w:eastAsia="zh-CN"/>
        </w:rPr>
        <w:t>但</w:t>
      </w:r>
      <w:r>
        <w:rPr>
          <w:rFonts w:hint="eastAsia"/>
          <w:color w:val="auto"/>
          <w:highlight w:val="none"/>
          <w:lang w:eastAsia="zh-CN"/>
        </w:rPr>
        <w:t>“</w:t>
      </w:r>
      <w:r>
        <w:rPr>
          <w:rFonts w:hint="default"/>
          <w:color w:val="auto"/>
          <w:highlight w:val="none"/>
          <w:lang w:val="en-US" w:eastAsia="zh-CN"/>
        </w:rPr>
        <w:t>梅江区西郊街道勤力苑老旧小区周边背街小巷道路整治提升</w:t>
      </w:r>
      <w:r>
        <w:rPr>
          <w:rFonts w:hint="eastAsia"/>
          <w:color w:val="auto"/>
          <w:highlight w:val="none"/>
          <w:lang w:val="en-US" w:eastAsia="zh-CN"/>
        </w:rPr>
        <w:t>”的过程执行材料、项目监管材料均未能提供，</w:t>
      </w:r>
    </w:p>
    <w:p w14:paraId="7141D9A1">
      <w:pPr>
        <w:bidi w:val="0"/>
        <w:rPr>
          <w:rFonts w:hint="default"/>
          <w:color w:val="auto"/>
          <w:highlight w:val="none"/>
        </w:rPr>
      </w:pPr>
      <w:r>
        <w:rPr>
          <w:rFonts w:hint="eastAsia"/>
          <w:color w:val="auto"/>
          <w:highlight w:val="none"/>
        </w:rPr>
        <w:t>通过汇报、现场核查等方式，对专项资金和专项经费的使用情况以及项目实施进度开展定期或不定期检查资料。</w:t>
      </w:r>
      <w:r>
        <w:rPr>
          <w:rFonts w:hint="default"/>
          <w:color w:val="auto"/>
          <w:highlight w:val="none"/>
        </w:rPr>
        <w:t>存在管理制度不完整，没有开展有针对性的监督工作。</w:t>
      </w:r>
    </w:p>
    <w:p w14:paraId="4F257C1D">
      <w:pPr>
        <w:bidi w:val="0"/>
        <w:rPr>
          <w:rFonts w:hint="eastAsia"/>
          <w:color w:val="auto"/>
          <w:highlight w:val="none"/>
          <w:lang w:val="en-US" w:eastAsia="zh-CN"/>
        </w:rPr>
      </w:pPr>
      <w:r>
        <w:rPr>
          <w:rFonts w:hint="eastAsia"/>
          <w:color w:val="auto"/>
          <w:highlight w:val="none"/>
          <w:lang w:val="en-US" w:eastAsia="zh-CN"/>
        </w:rPr>
        <w:t>综上，项目管理得分为</w:t>
      </w:r>
      <w:r>
        <w:rPr>
          <w:rFonts w:hint="default"/>
          <w:color w:val="auto"/>
          <w:highlight w:val="none"/>
          <w:lang w:eastAsia="zh-CN"/>
        </w:rPr>
        <w:t>10.58</w:t>
      </w:r>
      <w:r>
        <w:rPr>
          <w:rFonts w:hint="eastAsia"/>
          <w:color w:val="auto"/>
          <w:highlight w:val="none"/>
          <w:lang w:val="en-US" w:eastAsia="zh-CN"/>
        </w:rPr>
        <w:t>分，得分率为</w:t>
      </w:r>
      <w:r>
        <w:rPr>
          <w:rFonts w:hint="default"/>
          <w:color w:val="auto"/>
          <w:highlight w:val="none"/>
          <w:lang w:eastAsia="zh-CN"/>
        </w:rPr>
        <w:t>50.38</w:t>
      </w:r>
      <w:r>
        <w:rPr>
          <w:rFonts w:hint="eastAsia"/>
          <w:color w:val="auto"/>
          <w:highlight w:val="none"/>
          <w:lang w:val="en-US" w:eastAsia="zh-CN"/>
        </w:rPr>
        <w:t>%。</w:t>
      </w:r>
    </w:p>
    <w:p w14:paraId="3CC5AB3B">
      <w:pPr>
        <w:rPr>
          <w:rFonts w:hint="eastAsia"/>
          <w:color w:val="auto"/>
          <w:highlight w:val="none"/>
          <w:lang w:val="en-US" w:eastAsia="zh-CN"/>
        </w:rPr>
      </w:pPr>
    </w:p>
    <w:p w14:paraId="3F2A4FA2">
      <w:pPr>
        <w:pStyle w:val="5"/>
        <w:bidi w:val="0"/>
        <w:rPr>
          <w:rFonts w:hint="eastAsia"/>
          <w:color w:val="auto"/>
          <w:highlight w:val="none"/>
        </w:rPr>
      </w:pPr>
      <w:r>
        <w:rPr>
          <w:rFonts w:hint="eastAsia"/>
          <w:color w:val="auto"/>
          <w:highlight w:val="none"/>
          <w:lang w:val="en-US" w:eastAsia="zh-CN"/>
        </w:rPr>
        <w:t>5、</w:t>
      </w:r>
      <w:r>
        <w:rPr>
          <w:rFonts w:hint="eastAsia"/>
          <w:color w:val="auto"/>
          <w:highlight w:val="none"/>
        </w:rPr>
        <w:t>资产管理</w:t>
      </w:r>
    </w:p>
    <w:p w14:paraId="62118A5A">
      <w:pPr>
        <w:rPr>
          <w:rFonts w:hint="default"/>
          <w:color w:val="auto"/>
          <w:highlight w:val="none"/>
          <w:lang w:val="en-US" w:eastAsia="zh-CN"/>
        </w:rPr>
      </w:pPr>
      <w:r>
        <w:rPr>
          <w:rFonts w:hint="eastAsia"/>
          <w:color w:val="auto"/>
          <w:highlight w:val="none"/>
          <w:lang w:val="en-US" w:eastAsia="zh-CN"/>
        </w:rPr>
        <w:t>资产配置合规性方面，通过现场确认，被评单位办公室面积和办公设备配置符合相关规定标准。</w:t>
      </w:r>
    </w:p>
    <w:p w14:paraId="3620865F">
      <w:pPr>
        <w:rPr>
          <w:rFonts w:hint="eastAsia"/>
          <w:color w:val="auto"/>
          <w:highlight w:val="none"/>
          <w:lang w:val="en-US" w:eastAsia="zh-CN"/>
        </w:rPr>
      </w:pPr>
      <w:r>
        <w:rPr>
          <w:rFonts w:hint="eastAsia"/>
          <w:color w:val="auto"/>
          <w:highlight w:val="none"/>
          <w:lang w:val="en-US" w:eastAsia="zh-CN"/>
        </w:rPr>
        <w:t>资产收益上缴的及时性方面，2022年度</w:t>
      </w:r>
      <w:r>
        <w:rPr>
          <w:rFonts w:hint="default"/>
          <w:color w:val="auto"/>
          <w:highlight w:val="none"/>
          <w:lang w:eastAsia="zh-CN"/>
        </w:rPr>
        <w:t>西郊街道</w:t>
      </w:r>
      <w:r>
        <w:rPr>
          <w:rFonts w:hint="eastAsia"/>
          <w:color w:val="auto"/>
          <w:highlight w:val="none"/>
          <w:lang w:val="en-US" w:eastAsia="zh-CN"/>
        </w:rPr>
        <w:t>并未发生此项业务。</w:t>
      </w:r>
    </w:p>
    <w:p w14:paraId="07440F12">
      <w:pPr>
        <w:rPr>
          <w:rFonts w:hint="eastAsia"/>
          <w:color w:val="auto"/>
          <w:highlight w:val="none"/>
          <w:lang w:val="en-US" w:eastAsia="zh-CN"/>
        </w:rPr>
      </w:pPr>
      <w:r>
        <w:rPr>
          <w:rFonts w:hint="eastAsia"/>
          <w:color w:val="auto"/>
          <w:highlight w:val="none"/>
          <w:lang w:val="en-US" w:eastAsia="zh-CN"/>
        </w:rPr>
        <w:t>资产盘点方面，被评单位</w:t>
      </w:r>
      <w:r>
        <w:rPr>
          <w:rFonts w:hint="default"/>
          <w:color w:val="auto"/>
          <w:highlight w:val="none"/>
          <w:lang w:eastAsia="zh-CN"/>
        </w:rPr>
        <w:t>未能按要求</w:t>
      </w:r>
      <w:r>
        <w:rPr>
          <w:rFonts w:hint="eastAsia"/>
          <w:color w:val="auto"/>
          <w:highlight w:val="none"/>
          <w:lang w:val="en-US" w:eastAsia="zh-CN"/>
        </w:rPr>
        <w:t>在评价年度内能按每年一次</w:t>
      </w:r>
      <w:r>
        <w:rPr>
          <w:rFonts w:hint="default"/>
          <w:color w:val="auto"/>
          <w:highlight w:val="none"/>
          <w:lang w:eastAsia="zh-CN"/>
        </w:rPr>
        <w:t>开展资产盘点</w:t>
      </w:r>
      <w:r>
        <w:rPr>
          <w:rFonts w:hint="eastAsia"/>
          <w:color w:val="auto"/>
          <w:highlight w:val="none"/>
          <w:lang w:val="en-US" w:eastAsia="zh-CN"/>
        </w:rPr>
        <w:t>工作。</w:t>
      </w:r>
    </w:p>
    <w:p w14:paraId="41BA80DA">
      <w:pPr>
        <w:rPr>
          <w:rFonts w:hint="eastAsia"/>
          <w:color w:val="auto"/>
          <w:highlight w:val="none"/>
          <w:lang w:val="en-US" w:eastAsia="zh-CN"/>
        </w:rPr>
      </w:pPr>
      <w:r>
        <w:rPr>
          <w:rFonts w:hint="eastAsia"/>
          <w:color w:val="auto"/>
          <w:highlight w:val="none"/>
          <w:lang w:val="en-US" w:eastAsia="zh-CN"/>
        </w:rPr>
        <w:t>数据质量方面，被评单位国有资产数据完整、准确，符合数据质量管理要求。</w:t>
      </w:r>
    </w:p>
    <w:p w14:paraId="446DE806">
      <w:pPr>
        <w:rPr>
          <w:rFonts w:hint="default"/>
          <w:color w:val="auto"/>
          <w:highlight w:val="none"/>
          <w:lang w:eastAsia="zh-CN"/>
        </w:rPr>
      </w:pPr>
      <w:r>
        <w:rPr>
          <w:rFonts w:hint="eastAsia"/>
          <w:color w:val="auto"/>
          <w:highlight w:val="none"/>
          <w:lang w:val="en-US" w:eastAsia="zh-CN"/>
        </w:rPr>
        <w:t>资产管理合规性方面，</w:t>
      </w:r>
      <w:r>
        <w:rPr>
          <w:rFonts w:hint="default"/>
          <w:color w:val="auto"/>
          <w:highlight w:val="none"/>
          <w:lang w:eastAsia="zh-CN"/>
        </w:rPr>
        <w:t>西郊街道</w:t>
      </w:r>
      <w:r>
        <w:rPr>
          <w:rFonts w:hint="eastAsia"/>
          <w:color w:val="auto"/>
          <w:highlight w:val="none"/>
          <w:lang w:val="en-US" w:eastAsia="zh-CN"/>
        </w:rPr>
        <w:t>根据《</w:t>
      </w:r>
      <w:r>
        <w:rPr>
          <w:rFonts w:hint="default"/>
          <w:color w:val="auto"/>
          <w:highlight w:val="none"/>
          <w:lang w:val="en-US" w:eastAsia="zh-CN"/>
        </w:rPr>
        <w:t>梅州市梅江区人民政府</w:t>
      </w:r>
      <w:r>
        <w:rPr>
          <w:rFonts w:hint="default"/>
          <w:color w:val="auto"/>
          <w:highlight w:val="none"/>
          <w:lang w:eastAsia="zh-CN"/>
        </w:rPr>
        <w:t>西郊街道办事处单位</w:t>
      </w:r>
      <w:r>
        <w:rPr>
          <w:rFonts w:hint="default"/>
          <w:color w:val="auto"/>
          <w:highlight w:val="none"/>
          <w:lang w:val="en-US" w:eastAsia="zh-CN"/>
        </w:rPr>
        <w:t>内控制度</w:t>
      </w:r>
      <w:r>
        <w:rPr>
          <w:rFonts w:hint="eastAsia"/>
          <w:color w:val="auto"/>
          <w:highlight w:val="none"/>
          <w:lang w:val="en-US" w:eastAsia="zh-CN"/>
        </w:rPr>
        <w:t>》中关于固定资产管理的条款执行相关工作，基本达到《行政单位国有资产管理暂行办法》《事业单位国有资产管理暂行办法》的执行标准。但在现场对固定资产核查发现，部分固定资产未按规范贴有固定资产标签</w:t>
      </w:r>
      <w:r>
        <w:rPr>
          <w:rFonts w:hint="default"/>
          <w:color w:val="auto"/>
          <w:highlight w:val="none"/>
          <w:lang w:eastAsia="zh-CN"/>
        </w:rPr>
        <w:t>。固定资产清单中有部分房屋建筑物标识由于历史遗留问题没有权属证明，</w:t>
      </w:r>
      <w:r>
        <w:rPr>
          <w:rFonts w:hint="eastAsia" w:ascii="Calibri" w:hAnsi="Calibri" w:eastAsia="仿宋_GB2312" w:cs="Calibri"/>
          <w:color w:val="auto"/>
          <w:sz w:val="32"/>
          <w:szCs w:val="20"/>
          <w:highlight w:val="none"/>
          <w:lang w:val="en-US" w:eastAsia="zh-CN"/>
        </w:rPr>
        <w:t>无法实施有效的资产管理，防止国有资产流失。</w:t>
      </w:r>
    </w:p>
    <w:p w14:paraId="6F2497F8">
      <w:pPr>
        <w:rPr>
          <w:rFonts w:hint="default"/>
          <w:color w:val="auto"/>
          <w:highlight w:val="none"/>
        </w:rPr>
      </w:pPr>
      <w:r>
        <w:rPr>
          <w:rFonts w:hint="eastAsia"/>
          <w:color w:val="auto"/>
          <w:highlight w:val="none"/>
        </w:rPr>
        <w:t>综上，</w:t>
      </w:r>
      <w:r>
        <w:rPr>
          <w:rFonts w:hint="default"/>
          <w:color w:val="auto"/>
          <w:highlight w:val="none"/>
        </w:rPr>
        <w:t>资产管理</w:t>
      </w:r>
      <w:r>
        <w:rPr>
          <w:rFonts w:hint="eastAsia"/>
          <w:color w:val="auto"/>
          <w:highlight w:val="none"/>
          <w:lang w:val="en-US" w:eastAsia="zh-CN"/>
        </w:rPr>
        <w:t>得分为</w:t>
      </w:r>
      <w:r>
        <w:rPr>
          <w:rFonts w:hint="default"/>
          <w:color w:val="auto"/>
          <w:highlight w:val="none"/>
          <w:lang w:eastAsia="zh-CN"/>
        </w:rPr>
        <w:t>5</w:t>
      </w:r>
      <w:r>
        <w:rPr>
          <w:rFonts w:hint="eastAsia"/>
          <w:color w:val="auto"/>
          <w:highlight w:val="none"/>
        </w:rPr>
        <w:t>分，得分率为</w:t>
      </w:r>
      <w:r>
        <w:rPr>
          <w:rFonts w:hint="default"/>
          <w:color w:val="auto"/>
          <w:highlight w:val="none"/>
        </w:rPr>
        <w:t>71.43</w:t>
      </w:r>
      <w:r>
        <w:rPr>
          <w:rFonts w:hint="eastAsia"/>
          <w:color w:val="auto"/>
          <w:highlight w:val="none"/>
        </w:rPr>
        <w:t>%</w:t>
      </w:r>
      <w:r>
        <w:rPr>
          <w:rFonts w:hint="default"/>
          <w:color w:val="auto"/>
          <w:highlight w:val="none"/>
        </w:rPr>
        <w:t>。</w:t>
      </w:r>
    </w:p>
    <w:p w14:paraId="61CD6A46">
      <w:pPr>
        <w:bidi w:val="0"/>
        <w:rPr>
          <w:rFonts w:hint="eastAsia"/>
          <w:color w:val="auto"/>
          <w:highlight w:val="none"/>
        </w:rPr>
      </w:pPr>
    </w:p>
    <w:p w14:paraId="60B03436">
      <w:pPr>
        <w:pStyle w:val="4"/>
        <w:bidi w:val="0"/>
        <w:rPr>
          <w:rFonts w:hint="eastAsia"/>
          <w:color w:val="auto"/>
          <w:highlight w:val="none"/>
          <w:lang w:eastAsia="zh-CN"/>
        </w:rPr>
      </w:pPr>
      <w:bookmarkStart w:id="41" w:name="_Toc6206"/>
      <w:r>
        <w:rPr>
          <w:rFonts w:hint="eastAsia"/>
          <w:color w:val="auto"/>
          <w:highlight w:val="none"/>
        </w:rPr>
        <w:t>（三）</w:t>
      </w:r>
      <w:bookmarkEnd w:id="39"/>
      <w:bookmarkEnd w:id="40"/>
      <w:bookmarkStart w:id="42" w:name="_Toc23809"/>
      <w:bookmarkStart w:id="43" w:name="_Toc28224"/>
      <w:r>
        <w:rPr>
          <w:rFonts w:hint="eastAsia"/>
          <w:color w:val="auto"/>
          <w:highlight w:val="none"/>
          <w:lang w:val="en-US" w:eastAsia="zh-CN"/>
        </w:rPr>
        <w:t>预算使用效益</w:t>
      </w:r>
      <w:bookmarkEnd w:id="41"/>
    </w:p>
    <w:p w14:paraId="54681FEE">
      <w:pPr>
        <w:pStyle w:val="5"/>
        <w:bidi w:val="0"/>
        <w:rPr>
          <w:rFonts w:hint="eastAsia"/>
          <w:color w:val="auto"/>
          <w:highlight w:val="none"/>
        </w:rPr>
      </w:pPr>
      <w:r>
        <w:rPr>
          <w:rFonts w:hint="eastAsia"/>
          <w:color w:val="auto"/>
          <w:highlight w:val="none"/>
          <w:lang w:val="en-US" w:eastAsia="zh-CN"/>
        </w:rPr>
        <w:t>1、</w:t>
      </w:r>
      <w:r>
        <w:rPr>
          <w:rFonts w:hint="eastAsia"/>
          <w:color w:val="auto"/>
          <w:highlight w:val="none"/>
        </w:rPr>
        <w:t>经济性</w:t>
      </w:r>
    </w:p>
    <w:p w14:paraId="7FF9F7F4">
      <w:pPr>
        <w:rPr>
          <w:rFonts w:hint="eastAsia"/>
          <w:color w:val="auto"/>
          <w:highlight w:val="none"/>
          <w:lang w:val="en-US" w:eastAsia="zh-CN"/>
        </w:rPr>
      </w:pPr>
      <w:r>
        <w:rPr>
          <w:rFonts w:hint="eastAsia"/>
          <w:color w:val="auto"/>
          <w:highlight w:val="none"/>
          <w:lang w:val="en-US" w:eastAsia="zh-CN"/>
        </w:rPr>
        <w:t>经济成本控制情况方面，被评单位2022年度绩效目标完成程度较好，预算使用效益较高，结合项目资金绩效完成情况评价，本项得分率为8</w:t>
      </w:r>
      <w:r>
        <w:rPr>
          <w:rFonts w:hint="default"/>
          <w:color w:val="auto"/>
          <w:highlight w:val="none"/>
          <w:lang w:eastAsia="zh-CN"/>
        </w:rPr>
        <w:t>0.00</w:t>
      </w:r>
      <w:r>
        <w:rPr>
          <w:rFonts w:hint="eastAsia"/>
          <w:color w:val="auto"/>
          <w:highlight w:val="none"/>
          <w:lang w:val="en-US" w:eastAsia="zh-CN"/>
        </w:rPr>
        <w:t>%。</w:t>
      </w:r>
    </w:p>
    <w:p w14:paraId="1638FE38">
      <w:pPr>
        <w:rPr>
          <w:rFonts w:hint="default"/>
          <w:color w:val="auto"/>
          <w:highlight w:val="none"/>
          <w:lang w:val="en-US" w:eastAsia="zh-CN"/>
        </w:rPr>
      </w:pPr>
      <w:r>
        <w:rPr>
          <w:rFonts w:hint="eastAsia"/>
          <w:color w:val="auto"/>
          <w:highlight w:val="none"/>
          <w:lang w:val="en-US" w:eastAsia="zh-CN"/>
        </w:rPr>
        <w:t>公用经费控制率方面，</w:t>
      </w:r>
      <w:r>
        <w:rPr>
          <w:rFonts w:hint="default"/>
          <w:color w:val="auto"/>
          <w:highlight w:val="none"/>
          <w:lang w:eastAsia="zh-CN"/>
        </w:rPr>
        <w:t>西郊街道</w:t>
      </w:r>
      <w:r>
        <w:rPr>
          <w:rFonts w:hint="eastAsia"/>
          <w:color w:val="auto"/>
          <w:highlight w:val="none"/>
          <w:lang w:val="en-US" w:eastAsia="zh-CN"/>
        </w:rPr>
        <w:t>2022年度“三公”经费实际支出</w:t>
      </w:r>
      <w:r>
        <w:rPr>
          <w:rFonts w:hint="default"/>
          <w:color w:val="auto"/>
          <w:highlight w:val="none"/>
          <w:lang w:eastAsia="zh-CN"/>
        </w:rPr>
        <w:t>5.00</w:t>
      </w:r>
      <w:r>
        <w:rPr>
          <w:rFonts w:hint="eastAsia"/>
          <w:color w:val="auto"/>
          <w:highlight w:val="none"/>
          <w:lang w:val="en-US" w:eastAsia="zh-CN"/>
        </w:rPr>
        <w:t>万元＜预算安排数</w:t>
      </w:r>
      <w:r>
        <w:rPr>
          <w:rFonts w:hint="default"/>
          <w:color w:val="auto"/>
          <w:highlight w:val="none"/>
          <w:lang w:eastAsia="zh-CN"/>
        </w:rPr>
        <w:t>5.20</w:t>
      </w:r>
      <w:r>
        <w:rPr>
          <w:rFonts w:hint="eastAsia"/>
          <w:color w:val="auto"/>
          <w:highlight w:val="none"/>
          <w:lang w:val="en-US" w:eastAsia="zh-CN"/>
        </w:rPr>
        <w:t>万元；日常公用经费实际支出</w:t>
      </w:r>
      <w:r>
        <w:rPr>
          <w:rFonts w:hint="default"/>
          <w:color w:val="auto"/>
          <w:highlight w:val="none"/>
          <w:lang w:eastAsia="zh-CN"/>
        </w:rPr>
        <w:t>94.91</w:t>
      </w:r>
      <w:r>
        <w:rPr>
          <w:rFonts w:hint="eastAsia"/>
          <w:color w:val="auto"/>
          <w:highlight w:val="none"/>
          <w:lang w:val="en-US" w:eastAsia="zh-CN"/>
        </w:rPr>
        <w:t>万元＝预算安排数</w:t>
      </w:r>
      <w:r>
        <w:rPr>
          <w:rFonts w:hint="default"/>
          <w:color w:val="auto"/>
          <w:highlight w:val="none"/>
          <w:lang w:eastAsia="zh-CN"/>
        </w:rPr>
        <w:t>94.91</w:t>
      </w:r>
      <w:r>
        <w:rPr>
          <w:rFonts w:hint="eastAsia"/>
          <w:color w:val="auto"/>
          <w:highlight w:val="none"/>
          <w:lang w:val="en-US" w:eastAsia="zh-CN"/>
        </w:rPr>
        <w:t>万元。被评单位对机构运转的实际控制情况良好。</w:t>
      </w:r>
    </w:p>
    <w:p w14:paraId="0BA24B3F">
      <w:pPr>
        <w:rPr>
          <w:rFonts w:hint="default" w:eastAsia="仿宋_GB2312"/>
          <w:color w:val="auto"/>
          <w:highlight w:val="none"/>
          <w:lang w:eastAsia="zh-CN"/>
        </w:rPr>
      </w:pPr>
      <w:r>
        <w:rPr>
          <w:rFonts w:hint="eastAsia"/>
          <w:color w:val="auto"/>
          <w:highlight w:val="none"/>
          <w:lang w:val="en-US" w:eastAsia="zh-CN"/>
        </w:rPr>
        <w:t>综上，经济性得分为</w:t>
      </w:r>
      <w:r>
        <w:rPr>
          <w:rFonts w:hint="default"/>
          <w:color w:val="auto"/>
          <w:highlight w:val="none"/>
          <w:lang w:eastAsia="zh-CN"/>
        </w:rPr>
        <w:t>6</w:t>
      </w:r>
      <w:r>
        <w:rPr>
          <w:rFonts w:hint="eastAsia"/>
          <w:color w:val="auto"/>
          <w:highlight w:val="none"/>
          <w:lang w:val="en-US" w:eastAsia="zh-CN"/>
        </w:rPr>
        <w:t>分，得分率为</w:t>
      </w:r>
      <w:r>
        <w:rPr>
          <w:rFonts w:hint="default"/>
          <w:color w:val="auto"/>
          <w:highlight w:val="none"/>
          <w:lang w:eastAsia="zh-CN"/>
        </w:rPr>
        <w:t>85.71</w:t>
      </w:r>
      <w:r>
        <w:rPr>
          <w:rFonts w:hint="eastAsia"/>
          <w:color w:val="auto"/>
          <w:highlight w:val="none"/>
          <w:lang w:val="en-US" w:eastAsia="zh-CN"/>
        </w:rPr>
        <w:t>%</w:t>
      </w:r>
      <w:r>
        <w:rPr>
          <w:rFonts w:hint="default"/>
          <w:color w:val="auto"/>
          <w:highlight w:val="none"/>
          <w:lang w:eastAsia="zh-CN"/>
        </w:rPr>
        <w:t>。</w:t>
      </w:r>
    </w:p>
    <w:p w14:paraId="45E6D04E">
      <w:pPr>
        <w:rPr>
          <w:rFonts w:hint="eastAsia"/>
          <w:color w:val="auto"/>
          <w:highlight w:val="none"/>
        </w:rPr>
      </w:pPr>
    </w:p>
    <w:p w14:paraId="47CBE2B0">
      <w:pPr>
        <w:pStyle w:val="5"/>
        <w:bidi w:val="0"/>
        <w:rPr>
          <w:rFonts w:hint="eastAsia"/>
          <w:color w:val="auto"/>
          <w:highlight w:val="none"/>
        </w:rPr>
      </w:pPr>
      <w:r>
        <w:rPr>
          <w:rFonts w:hint="eastAsia"/>
          <w:color w:val="auto"/>
          <w:highlight w:val="none"/>
          <w:lang w:val="en-US" w:eastAsia="zh-CN"/>
        </w:rPr>
        <w:t>2、</w:t>
      </w:r>
      <w:r>
        <w:rPr>
          <w:rFonts w:hint="eastAsia"/>
          <w:color w:val="auto"/>
          <w:highlight w:val="none"/>
        </w:rPr>
        <w:t>效率性</w:t>
      </w:r>
    </w:p>
    <w:p w14:paraId="0E3AEDC5">
      <w:pPr>
        <w:rPr>
          <w:rFonts w:hint="default" w:eastAsia="仿宋_GB2312"/>
          <w:color w:val="auto"/>
          <w:highlight w:val="none"/>
          <w:lang w:eastAsia="zh-CN"/>
        </w:rPr>
      </w:pPr>
      <w:r>
        <w:rPr>
          <w:rFonts w:hint="default"/>
          <w:color w:val="auto"/>
          <w:highlight w:val="none"/>
          <w:lang w:eastAsia="zh-CN"/>
        </w:rPr>
        <w:t>2022年西郊街道的年度工作已于年底前按上级部门要求全部完成，完成率100%。</w:t>
      </w:r>
    </w:p>
    <w:p w14:paraId="25313041">
      <w:pPr>
        <w:rPr>
          <w:rFonts w:hint="default" w:eastAsia="仿宋_GB2312"/>
          <w:color w:val="auto"/>
          <w:highlight w:val="none"/>
          <w:lang w:eastAsia="zh-CN"/>
        </w:rPr>
      </w:pPr>
      <w:r>
        <w:rPr>
          <w:rFonts w:hint="default"/>
          <w:color w:val="auto"/>
          <w:highlight w:val="none"/>
          <w:lang w:eastAsia="zh-CN"/>
        </w:rPr>
        <w:t>根据西郊街道的自评报告、自评表和所提供的资料，</w:t>
      </w:r>
      <w:r>
        <w:rPr>
          <w:rFonts w:hint="eastAsia" w:ascii="Calibri" w:hAnsi="Calibri" w:eastAsia="仿宋_GB2312" w:cs="Calibri"/>
          <w:color w:val="auto"/>
          <w:sz w:val="32"/>
          <w:szCs w:val="20"/>
          <w:highlight w:val="none"/>
          <w:lang w:eastAsia="zh-CN"/>
        </w:rPr>
        <w:t>《</w:t>
      </w:r>
      <w:r>
        <w:rPr>
          <w:rFonts w:hint="eastAsia" w:ascii="Calibri" w:hAnsi="Calibri" w:eastAsia="仿宋_GB2312" w:cs="Calibri"/>
          <w:color w:val="auto"/>
          <w:sz w:val="32"/>
          <w:szCs w:val="20"/>
          <w:highlight w:val="none"/>
        </w:rPr>
        <w:t>部门整体支出绩效目标申报表</w:t>
      </w:r>
      <w:r>
        <w:rPr>
          <w:rFonts w:hint="eastAsia" w:ascii="Calibri" w:hAnsi="Calibri" w:eastAsia="仿宋_GB2312" w:cs="Calibri"/>
          <w:color w:val="auto"/>
          <w:sz w:val="32"/>
          <w:szCs w:val="20"/>
          <w:highlight w:val="none"/>
          <w:lang w:eastAsia="zh-CN"/>
        </w:rPr>
        <w:t>》</w:t>
      </w:r>
      <w:r>
        <w:rPr>
          <w:rFonts w:hint="default" w:ascii="Calibri" w:hAnsi="Calibri" w:eastAsia="仿宋_GB2312" w:cs="Calibri"/>
          <w:color w:val="auto"/>
          <w:sz w:val="32"/>
          <w:szCs w:val="20"/>
          <w:highlight w:val="none"/>
          <w:lang w:eastAsia="zh-CN"/>
        </w:rPr>
        <w:t>未能制定契合个性化产出和效果指标，无法进一步分解为具体的工作任务，所提供的佐证资料不充分，无法验证部门总体绩效目标的完成率。</w:t>
      </w:r>
    </w:p>
    <w:p w14:paraId="7130AD21">
      <w:pPr>
        <w:bidi w:val="0"/>
        <w:rPr>
          <w:rFonts w:hint="default"/>
          <w:color w:val="auto"/>
          <w:highlight w:val="none"/>
          <w:lang w:eastAsia="zh-CN"/>
        </w:rPr>
      </w:pPr>
      <w:r>
        <w:rPr>
          <w:rFonts w:hint="default"/>
          <w:color w:val="auto"/>
          <w:highlight w:val="none"/>
          <w:lang w:eastAsia="zh-CN"/>
        </w:rPr>
        <w:t>2022年度西郊街道的重点项目为补助支出和老旧小区改造，根据部分重点项目的自评表</w:t>
      </w:r>
      <w:r>
        <w:rPr>
          <w:rFonts w:hint="eastAsia"/>
          <w:color w:val="auto"/>
          <w:highlight w:val="none"/>
          <w:lang w:val="en-US" w:eastAsia="zh-CN"/>
        </w:rPr>
        <w:t>以及现场核查后的补充材料</w:t>
      </w:r>
      <w:r>
        <w:rPr>
          <w:rFonts w:hint="default"/>
          <w:color w:val="auto"/>
          <w:highlight w:val="none"/>
          <w:lang w:eastAsia="zh-CN"/>
        </w:rPr>
        <w:t>，</w:t>
      </w:r>
      <w:r>
        <w:rPr>
          <w:rFonts w:hint="eastAsia"/>
          <w:color w:val="auto"/>
          <w:highlight w:val="none"/>
          <w:lang w:eastAsia="zh-CN"/>
        </w:rPr>
        <w:t>“</w:t>
      </w:r>
      <w:r>
        <w:rPr>
          <w:rFonts w:hint="default"/>
          <w:color w:val="auto"/>
          <w:highlight w:val="none"/>
          <w:lang w:val="en-US" w:eastAsia="zh-CN"/>
        </w:rPr>
        <w:t>月影塘社区县委宿舍老旧小区改造及周边历史建筑修缮工程</w:t>
      </w:r>
      <w:r>
        <w:rPr>
          <w:rFonts w:hint="eastAsia"/>
          <w:color w:val="auto"/>
          <w:highlight w:val="none"/>
          <w:lang w:eastAsia="zh-CN"/>
        </w:rPr>
        <w:t>”“</w:t>
      </w:r>
      <w:r>
        <w:rPr>
          <w:rFonts w:hint="default"/>
          <w:color w:val="auto"/>
          <w:highlight w:val="none"/>
          <w:lang w:val="en-US" w:eastAsia="zh-CN"/>
        </w:rPr>
        <w:t>梅江区西郊街道勤力苑老旧小区周边背街小巷道路整治提升</w:t>
      </w:r>
      <w:r>
        <w:rPr>
          <w:rFonts w:hint="eastAsia"/>
          <w:color w:val="auto"/>
          <w:highlight w:val="none"/>
          <w:lang w:val="en-US" w:eastAsia="zh-CN"/>
        </w:rPr>
        <w:t>”</w:t>
      </w:r>
      <w:r>
        <w:rPr>
          <w:rFonts w:hint="default"/>
          <w:color w:val="auto"/>
          <w:highlight w:val="none"/>
          <w:lang w:eastAsia="zh-CN"/>
        </w:rPr>
        <w:t>和</w:t>
      </w:r>
      <w:r>
        <w:rPr>
          <w:rFonts w:hint="eastAsia"/>
          <w:color w:val="auto"/>
          <w:highlight w:val="none"/>
          <w:lang w:eastAsia="zh-CN"/>
        </w:rPr>
        <w:t>“</w:t>
      </w:r>
      <w:r>
        <w:rPr>
          <w:rFonts w:hint="default"/>
          <w:color w:val="auto"/>
          <w:highlight w:val="none"/>
          <w:lang w:val="en-US" w:eastAsia="zh-CN"/>
        </w:rPr>
        <w:t>办事处属地管理的国有企业退休人员社会化管理补助支出</w:t>
      </w:r>
      <w:r>
        <w:rPr>
          <w:rFonts w:hint="eastAsia"/>
          <w:color w:val="auto"/>
          <w:highlight w:val="none"/>
          <w:lang w:eastAsia="zh-CN"/>
        </w:rPr>
        <w:t>”</w:t>
      </w:r>
      <w:r>
        <w:rPr>
          <w:rFonts w:hint="default"/>
          <w:color w:val="auto"/>
          <w:highlight w:val="none"/>
          <w:lang w:eastAsia="zh-CN"/>
        </w:rPr>
        <w:t>已经支付完成，且全部按时完成</w:t>
      </w:r>
      <w:r>
        <w:rPr>
          <w:rFonts w:hint="eastAsia"/>
          <w:color w:val="auto"/>
          <w:highlight w:val="none"/>
          <w:lang w:eastAsia="zh-CN"/>
        </w:rPr>
        <w:t>。</w:t>
      </w:r>
      <w:r>
        <w:rPr>
          <w:rFonts w:hint="eastAsia"/>
          <w:color w:val="auto"/>
          <w:highlight w:val="none"/>
          <w:lang w:val="en-US" w:eastAsia="zh-CN"/>
        </w:rPr>
        <w:t>而部门</w:t>
      </w:r>
      <w:r>
        <w:rPr>
          <w:rFonts w:hint="eastAsia"/>
          <w:color w:val="auto"/>
          <w:highlight w:val="none"/>
          <w:lang w:eastAsia="zh-CN"/>
        </w:rPr>
        <w:t>“</w:t>
      </w:r>
      <w:r>
        <w:rPr>
          <w:rFonts w:hint="default"/>
          <w:color w:val="auto"/>
          <w:highlight w:val="none"/>
          <w:lang w:val="en-US" w:eastAsia="zh-CN"/>
        </w:rPr>
        <w:t>各村社区创文、疫情防控、抢险救灾支出，望杏坊建设工作经费，办事处创文、疫情防控支出</w:t>
      </w:r>
      <w:r>
        <w:rPr>
          <w:rFonts w:hint="eastAsia"/>
          <w:color w:val="auto"/>
          <w:highlight w:val="none"/>
          <w:lang w:eastAsia="zh-CN"/>
        </w:rPr>
        <w:t>”</w:t>
      </w:r>
      <w:r>
        <w:rPr>
          <w:rFonts w:hint="eastAsia"/>
          <w:color w:val="auto"/>
          <w:highlight w:val="none"/>
          <w:lang w:val="en-US" w:eastAsia="zh-CN"/>
        </w:rPr>
        <w:t>则缺少项目验收佐证及相关</w:t>
      </w:r>
      <w:r>
        <w:rPr>
          <w:rFonts w:hint="default"/>
          <w:color w:val="auto"/>
          <w:highlight w:val="none"/>
          <w:lang w:eastAsia="zh-CN"/>
        </w:rPr>
        <w:t>完成情况说明</w:t>
      </w:r>
      <w:r>
        <w:rPr>
          <w:rFonts w:hint="eastAsia"/>
          <w:color w:val="auto"/>
          <w:highlight w:val="none"/>
          <w:lang w:eastAsia="zh-CN"/>
        </w:rPr>
        <w:t>，</w:t>
      </w:r>
      <w:r>
        <w:rPr>
          <w:rFonts w:hint="eastAsia"/>
          <w:color w:val="auto"/>
          <w:highlight w:val="none"/>
          <w:lang w:val="en-US" w:eastAsia="zh-CN"/>
        </w:rPr>
        <w:t>难以对产出内容进行考核</w:t>
      </w:r>
      <w:r>
        <w:rPr>
          <w:rFonts w:hint="default"/>
          <w:color w:val="auto"/>
          <w:highlight w:val="none"/>
          <w:lang w:eastAsia="zh-CN"/>
        </w:rPr>
        <w:t>。</w:t>
      </w:r>
    </w:p>
    <w:p w14:paraId="11A94033">
      <w:pPr>
        <w:bidi w:val="0"/>
        <w:rPr>
          <w:rFonts w:hint="default"/>
          <w:color w:val="auto"/>
          <w:highlight w:val="none"/>
        </w:rPr>
      </w:pPr>
      <w:r>
        <w:rPr>
          <w:rFonts w:hint="eastAsia"/>
          <w:color w:val="auto"/>
          <w:highlight w:val="none"/>
        </w:rPr>
        <w:t>综上，</w:t>
      </w:r>
      <w:r>
        <w:rPr>
          <w:rFonts w:hint="default"/>
          <w:color w:val="auto"/>
          <w:highlight w:val="none"/>
        </w:rPr>
        <w:t>效率性</w:t>
      </w:r>
      <w:r>
        <w:rPr>
          <w:rFonts w:hint="eastAsia"/>
          <w:color w:val="auto"/>
          <w:highlight w:val="none"/>
          <w:lang w:val="en-US" w:eastAsia="zh-CN"/>
        </w:rPr>
        <w:t>得分为</w:t>
      </w:r>
      <w:r>
        <w:rPr>
          <w:rFonts w:hint="default"/>
          <w:color w:val="auto"/>
          <w:highlight w:val="none"/>
          <w:lang w:eastAsia="zh-CN"/>
        </w:rPr>
        <w:t>4</w:t>
      </w:r>
      <w:r>
        <w:rPr>
          <w:rFonts w:hint="eastAsia"/>
          <w:color w:val="auto"/>
          <w:highlight w:val="none"/>
        </w:rPr>
        <w:t>分，得分率为</w:t>
      </w:r>
      <w:r>
        <w:rPr>
          <w:rFonts w:hint="default"/>
          <w:color w:val="auto"/>
          <w:highlight w:val="none"/>
        </w:rPr>
        <w:t>50</w:t>
      </w:r>
      <w:r>
        <w:rPr>
          <w:rFonts w:hint="eastAsia"/>
          <w:color w:val="auto"/>
          <w:highlight w:val="none"/>
        </w:rPr>
        <w:t>%</w:t>
      </w:r>
      <w:r>
        <w:rPr>
          <w:rFonts w:hint="default"/>
          <w:color w:val="auto"/>
          <w:highlight w:val="none"/>
        </w:rPr>
        <w:t>。</w:t>
      </w:r>
    </w:p>
    <w:p w14:paraId="06F35D25">
      <w:pPr>
        <w:rPr>
          <w:rFonts w:hint="default"/>
          <w:color w:val="auto"/>
          <w:highlight w:val="none"/>
          <w:lang w:eastAsia="zh-CN"/>
        </w:rPr>
      </w:pPr>
    </w:p>
    <w:p w14:paraId="7B132800">
      <w:pPr>
        <w:pStyle w:val="5"/>
        <w:bidi w:val="0"/>
        <w:rPr>
          <w:rFonts w:hint="eastAsia"/>
          <w:color w:val="auto"/>
          <w:highlight w:val="none"/>
        </w:rPr>
      </w:pPr>
      <w:r>
        <w:rPr>
          <w:rFonts w:hint="eastAsia"/>
          <w:color w:val="auto"/>
          <w:highlight w:val="none"/>
          <w:lang w:val="en-US" w:eastAsia="zh-CN"/>
        </w:rPr>
        <w:t>3、</w:t>
      </w:r>
      <w:r>
        <w:rPr>
          <w:rFonts w:hint="eastAsia"/>
          <w:color w:val="auto"/>
          <w:highlight w:val="none"/>
        </w:rPr>
        <w:t>效果性</w:t>
      </w:r>
    </w:p>
    <w:p w14:paraId="6CF7339A">
      <w:pPr>
        <w:bidi w:val="0"/>
        <w:rPr>
          <w:rFonts w:hint="default"/>
          <w:color w:val="auto"/>
          <w:highlight w:val="none"/>
        </w:rPr>
      </w:pPr>
      <w:r>
        <w:rPr>
          <w:rFonts w:hint="eastAsia"/>
          <w:color w:val="auto"/>
          <w:highlight w:val="none"/>
          <w:lang w:val="en-US" w:eastAsia="zh-CN"/>
        </w:rPr>
        <w:t>根据</w:t>
      </w:r>
      <w:r>
        <w:rPr>
          <w:rFonts w:hint="default"/>
          <w:color w:val="auto"/>
          <w:highlight w:val="none"/>
        </w:rPr>
        <w:t>《</w:t>
      </w:r>
      <w:r>
        <w:rPr>
          <w:rFonts w:hint="default"/>
          <w:color w:val="auto"/>
          <w:highlight w:val="none"/>
          <w:lang w:val="en-US" w:eastAsia="zh-CN"/>
        </w:rPr>
        <w:t>西郊街道2022年工作总结和2023年工作计划</w:t>
      </w:r>
      <w:r>
        <w:rPr>
          <w:rFonts w:hint="default"/>
          <w:color w:val="auto"/>
          <w:highlight w:val="none"/>
        </w:rPr>
        <w:t>》和《部门整体绩效自评报告》等资料，</w:t>
      </w:r>
      <w:r>
        <w:rPr>
          <w:rFonts w:hint="eastAsia"/>
          <w:color w:val="auto"/>
          <w:highlight w:val="none"/>
          <w:lang w:val="en-US" w:eastAsia="zh-CN"/>
        </w:rPr>
        <w:t>2022年</w:t>
      </w:r>
      <w:r>
        <w:rPr>
          <w:rFonts w:hint="default"/>
          <w:color w:val="auto"/>
          <w:highlight w:val="none"/>
          <w:lang w:eastAsia="zh-CN"/>
        </w:rPr>
        <w:t>西郊街道</w:t>
      </w:r>
      <w:r>
        <w:rPr>
          <w:rFonts w:hint="eastAsia"/>
          <w:color w:val="auto"/>
          <w:highlight w:val="none"/>
          <w:lang w:val="en-US" w:eastAsia="zh-CN"/>
        </w:rPr>
        <w:t>按照“三定方案”的工作职责有效推进</w:t>
      </w:r>
      <w:r>
        <w:rPr>
          <w:rFonts w:hint="eastAsia"/>
          <w:color w:val="auto"/>
          <w:highlight w:val="none"/>
          <w:lang w:val="zh-CN"/>
        </w:rPr>
        <w:t>各项工作，</w:t>
      </w:r>
      <w:r>
        <w:rPr>
          <w:rFonts w:hint="default"/>
          <w:color w:val="auto"/>
          <w:highlight w:val="none"/>
        </w:rPr>
        <w:t>在重点项目方面，</w:t>
      </w:r>
      <w:r>
        <w:rPr>
          <w:rFonts w:hint="default"/>
          <w:color w:val="auto"/>
          <w:highlight w:val="none"/>
          <w:lang w:val="en-US" w:eastAsia="zh-CN"/>
        </w:rPr>
        <w:t>全面</w:t>
      </w:r>
      <w:r>
        <w:rPr>
          <w:rFonts w:hint="default"/>
          <w:color w:val="auto"/>
          <w:highlight w:val="none"/>
          <w:lang w:eastAsia="zh-CN"/>
        </w:rPr>
        <w:t>完成</w:t>
      </w:r>
      <w:r>
        <w:rPr>
          <w:rFonts w:hint="default"/>
          <w:color w:val="auto"/>
          <w:highlight w:val="none"/>
          <w:lang w:val="en-US" w:eastAsia="zh-CN"/>
        </w:rPr>
        <w:t>月影塘社区县委宿舍老旧小区改造及周边历史建筑修缮项目</w:t>
      </w:r>
      <w:r>
        <w:rPr>
          <w:rFonts w:hint="eastAsia"/>
          <w:color w:val="auto"/>
          <w:highlight w:val="none"/>
          <w:lang w:val="en-US" w:eastAsia="zh-CN"/>
        </w:rPr>
        <w:t>，</w:t>
      </w:r>
      <w:r>
        <w:rPr>
          <w:rFonts w:hint="default"/>
          <w:color w:val="auto"/>
          <w:highlight w:val="none"/>
          <w:lang w:val="en-US" w:eastAsia="zh-CN"/>
        </w:rPr>
        <w:t>城市更新和人民生活环境水平稳步提高</w:t>
      </w:r>
      <w:r>
        <w:rPr>
          <w:rFonts w:hint="default"/>
          <w:color w:val="auto"/>
          <w:highlight w:val="none"/>
          <w:lang w:eastAsia="zh-CN"/>
        </w:rPr>
        <w:t>,</w:t>
      </w:r>
      <w:r>
        <w:rPr>
          <w:rFonts w:hint="default"/>
          <w:color w:val="auto"/>
          <w:highlight w:val="none"/>
          <w:lang w:val="en-US" w:eastAsia="zh-CN"/>
        </w:rPr>
        <w:t>解决老城区周边公共设施老化、道路破损、线路杂乱、排水排污等突出问题</w:t>
      </w:r>
      <w:r>
        <w:rPr>
          <w:rFonts w:hint="default"/>
          <w:color w:val="auto"/>
          <w:highlight w:val="none"/>
          <w:lang w:eastAsia="zh-CN"/>
        </w:rPr>
        <w:t>。但</w:t>
      </w:r>
      <w:r>
        <w:rPr>
          <w:rFonts w:hint="eastAsia"/>
          <w:color w:val="auto"/>
          <w:highlight w:val="none"/>
        </w:rPr>
        <w:t>社会</w:t>
      </w:r>
      <w:r>
        <w:rPr>
          <w:rFonts w:hint="eastAsia"/>
          <w:color w:val="auto"/>
          <w:highlight w:val="none"/>
          <w:lang w:val="en-US" w:eastAsia="zh-CN"/>
        </w:rPr>
        <w:t>经济环境</w:t>
      </w:r>
      <w:r>
        <w:rPr>
          <w:rFonts w:hint="eastAsia"/>
          <w:color w:val="auto"/>
          <w:highlight w:val="none"/>
        </w:rPr>
        <w:t>效益</w:t>
      </w:r>
      <w:r>
        <w:rPr>
          <w:rFonts w:hint="default"/>
          <w:color w:val="auto"/>
          <w:highlight w:val="none"/>
          <w:lang w:eastAsia="zh-CN"/>
        </w:rPr>
        <w:t>部分完成情况均依据西郊街道提供的自评报告和个别项目完成资料，</w:t>
      </w:r>
      <w:r>
        <w:rPr>
          <w:rFonts w:hint="eastAsia"/>
          <w:color w:val="auto"/>
          <w:highlight w:val="none"/>
          <w:lang w:val="en-US" w:eastAsia="zh-CN"/>
        </w:rPr>
        <w:t>并没有项目验收材料或项目实施前后的对比照片，材料</w:t>
      </w:r>
      <w:r>
        <w:rPr>
          <w:rFonts w:hint="default"/>
          <w:color w:val="auto"/>
          <w:highlight w:val="none"/>
          <w:lang w:eastAsia="zh-CN"/>
        </w:rPr>
        <w:t>佐证资料不充分。另</w:t>
      </w:r>
      <w:r>
        <w:rPr>
          <w:rFonts w:hint="eastAsia"/>
          <w:color w:val="auto"/>
          <w:highlight w:val="none"/>
          <w:lang w:val="en-US" w:eastAsia="zh-CN"/>
        </w:rPr>
        <w:t>外，“</w:t>
      </w:r>
      <w:r>
        <w:rPr>
          <w:rFonts w:hint="default"/>
          <w:color w:val="auto"/>
          <w:highlight w:val="none"/>
          <w:lang w:val="en-US" w:eastAsia="zh-CN"/>
        </w:rPr>
        <w:t>各村社区创文、疫情防控、抢险救灾支出，望杏坊建设工作经费，办事处创文、疫情防控支出</w:t>
      </w:r>
      <w:r>
        <w:rPr>
          <w:rFonts w:hint="eastAsia"/>
          <w:color w:val="auto"/>
          <w:highlight w:val="none"/>
          <w:lang w:eastAsia="zh-CN"/>
        </w:rPr>
        <w:t>”</w:t>
      </w:r>
      <w:r>
        <w:rPr>
          <w:rFonts w:hint="eastAsia"/>
          <w:color w:val="auto"/>
          <w:highlight w:val="none"/>
          <w:lang w:val="en-US" w:eastAsia="zh-CN"/>
        </w:rPr>
        <w:t>一项也没有相关的执行说明及产出佐证，其</w:t>
      </w:r>
      <w:r>
        <w:rPr>
          <w:rFonts w:hint="default"/>
          <w:color w:val="auto"/>
          <w:highlight w:val="none"/>
          <w:lang w:eastAsia="zh-CN"/>
        </w:rPr>
        <w:t>所产生的社会经济环境效益</w:t>
      </w:r>
      <w:r>
        <w:rPr>
          <w:rFonts w:hint="eastAsia"/>
          <w:color w:val="auto"/>
          <w:highlight w:val="none"/>
          <w:lang w:val="en-US" w:eastAsia="zh-CN"/>
        </w:rPr>
        <w:t>并不明确</w:t>
      </w:r>
      <w:r>
        <w:rPr>
          <w:rFonts w:hint="default"/>
          <w:color w:val="auto"/>
          <w:highlight w:val="none"/>
          <w:lang w:eastAsia="zh-CN"/>
        </w:rPr>
        <w:t>。</w:t>
      </w:r>
    </w:p>
    <w:p w14:paraId="71A1354C">
      <w:pPr>
        <w:rPr>
          <w:rFonts w:hint="eastAsia" w:eastAsia="仿宋_GB2312"/>
          <w:color w:val="auto"/>
          <w:highlight w:val="none"/>
          <w:lang w:eastAsia="zh-CN"/>
        </w:rPr>
      </w:pPr>
      <w:r>
        <w:rPr>
          <w:rFonts w:hint="eastAsia"/>
          <w:color w:val="auto"/>
          <w:highlight w:val="none"/>
        </w:rPr>
        <w:t>综上，</w:t>
      </w:r>
      <w:r>
        <w:rPr>
          <w:rFonts w:hint="default"/>
          <w:color w:val="auto"/>
          <w:highlight w:val="none"/>
        </w:rPr>
        <w:t>效果性</w:t>
      </w:r>
      <w:r>
        <w:rPr>
          <w:rFonts w:hint="eastAsia"/>
          <w:color w:val="auto"/>
          <w:highlight w:val="none"/>
          <w:lang w:val="en-US" w:eastAsia="zh-CN"/>
        </w:rPr>
        <w:t>得分为</w:t>
      </w:r>
      <w:r>
        <w:rPr>
          <w:rFonts w:hint="default"/>
          <w:color w:val="auto"/>
          <w:highlight w:val="none"/>
          <w:lang w:eastAsia="zh-CN"/>
        </w:rPr>
        <w:t>7</w:t>
      </w:r>
      <w:r>
        <w:rPr>
          <w:rFonts w:hint="eastAsia"/>
          <w:color w:val="auto"/>
          <w:highlight w:val="none"/>
        </w:rPr>
        <w:t>分，得分率为</w:t>
      </w:r>
      <w:r>
        <w:rPr>
          <w:rFonts w:hint="default"/>
          <w:color w:val="auto"/>
          <w:highlight w:val="none"/>
        </w:rPr>
        <w:t>87.50</w:t>
      </w:r>
      <w:r>
        <w:rPr>
          <w:rFonts w:hint="eastAsia"/>
          <w:color w:val="auto"/>
          <w:highlight w:val="none"/>
        </w:rPr>
        <w:t>%。</w:t>
      </w:r>
    </w:p>
    <w:p w14:paraId="2BB563B6">
      <w:pPr>
        <w:rPr>
          <w:rFonts w:hint="eastAsia"/>
          <w:color w:val="auto"/>
          <w:highlight w:val="none"/>
        </w:rPr>
      </w:pPr>
    </w:p>
    <w:p w14:paraId="0853D279">
      <w:pPr>
        <w:pStyle w:val="5"/>
        <w:bidi w:val="0"/>
        <w:rPr>
          <w:rFonts w:hint="eastAsia"/>
          <w:color w:val="auto"/>
          <w:highlight w:val="none"/>
        </w:rPr>
      </w:pPr>
      <w:r>
        <w:rPr>
          <w:rFonts w:hint="eastAsia"/>
          <w:color w:val="auto"/>
          <w:highlight w:val="none"/>
          <w:lang w:val="en-US" w:eastAsia="zh-CN"/>
        </w:rPr>
        <w:t>4、</w:t>
      </w:r>
      <w:r>
        <w:rPr>
          <w:rFonts w:hint="eastAsia"/>
          <w:color w:val="auto"/>
          <w:highlight w:val="none"/>
        </w:rPr>
        <w:t>公平性</w:t>
      </w:r>
    </w:p>
    <w:p w14:paraId="7F1422D4">
      <w:pPr>
        <w:keepNext w:val="0"/>
        <w:keepLines w:val="0"/>
        <w:widowControl w:val="0"/>
        <w:suppressLineNumbers w:val="0"/>
        <w:spacing w:before="0" w:beforeAutospacing="0" w:after="0" w:afterAutospacing="0"/>
        <w:ind w:left="0" w:right="0"/>
        <w:jc w:val="both"/>
        <w:rPr>
          <w:rFonts w:hint="default" w:ascii="Calibri" w:hAnsi="Calibri" w:eastAsia="仿宋_GB2312" w:cs="Calibri"/>
          <w:color w:val="auto"/>
          <w:sz w:val="32"/>
          <w:szCs w:val="20"/>
          <w:highlight w:val="none"/>
          <w:lang w:val="en-US" w:eastAsia="zh-CN"/>
        </w:rPr>
      </w:pPr>
      <w:r>
        <w:rPr>
          <w:rFonts w:hint="default" w:ascii="Calibri" w:hAnsi="Calibri" w:cs="Calibri"/>
          <w:color w:val="auto"/>
          <w:sz w:val="32"/>
          <w:szCs w:val="20"/>
          <w:highlight w:val="none"/>
          <w:lang w:eastAsia="zh-CN"/>
        </w:rPr>
        <w:t>西郊街道</w:t>
      </w:r>
      <w:r>
        <w:rPr>
          <w:rFonts w:hint="eastAsia" w:ascii="Calibri" w:hAnsi="Calibri" w:eastAsia="仿宋_GB2312" w:cs="Calibri"/>
          <w:color w:val="auto"/>
          <w:sz w:val="32"/>
          <w:szCs w:val="20"/>
          <w:highlight w:val="none"/>
          <w:lang w:val="en-US" w:eastAsia="zh-CN"/>
        </w:rPr>
        <w:t>建立了群众意见反映渠道和群众意见办理回复机制</w:t>
      </w:r>
      <w:r>
        <w:rPr>
          <w:rFonts w:hint="eastAsia" w:ascii="Calibri" w:hAnsi="Calibri" w:cs="Calibri"/>
          <w:color w:val="auto"/>
          <w:sz w:val="32"/>
          <w:szCs w:val="20"/>
          <w:highlight w:val="none"/>
          <w:lang w:val="en-US" w:eastAsia="zh-CN"/>
        </w:rPr>
        <w:t>，</w:t>
      </w:r>
      <w:r>
        <w:rPr>
          <w:rFonts w:hint="default" w:ascii="Calibri" w:hAnsi="Calibri" w:eastAsia="仿宋_GB2312" w:cs="Calibri"/>
          <w:color w:val="auto"/>
          <w:sz w:val="32"/>
          <w:szCs w:val="20"/>
          <w:highlight w:val="none"/>
          <w:lang w:eastAsia="zh-CN"/>
        </w:rPr>
        <w:t>年度群众信访情况和回复情况处理良好。</w:t>
      </w:r>
      <w:r>
        <w:rPr>
          <w:rFonts w:hint="eastAsia" w:ascii="Calibri" w:hAnsi="Calibri" w:cs="Calibri"/>
          <w:color w:val="auto"/>
          <w:sz w:val="32"/>
          <w:szCs w:val="20"/>
          <w:highlight w:val="none"/>
          <w:lang w:val="en-US" w:eastAsia="zh-CN"/>
        </w:rPr>
        <w:t>被评单位也能通过</w:t>
      </w:r>
      <w:r>
        <w:rPr>
          <w:rFonts w:hint="default" w:ascii="Calibri" w:hAnsi="Calibri" w:eastAsia="仿宋_GB2312" w:cs="Calibri"/>
          <w:color w:val="auto"/>
          <w:sz w:val="32"/>
          <w:szCs w:val="20"/>
          <w:highlight w:val="none"/>
          <w:lang w:eastAsia="zh-CN"/>
        </w:rPr>
        <w:t>广东省行政执法信息公示平台</w:t>
      </w:r>
      <w:r>
        <w:rPr>
          <w:rFonts w:hint="eastAsia" w:ascii="Calibri" w:hAnsi="Calibri" w:cs="Calibri"/>
          <w:color w:val="auto"/>
          <w:sz w:val="32"/>
          <w:szCs w:val="20"/>
          <w:highlight w:val="none"/>
          <w:lang w:eastAsia="zh-CN"/>
        </w:rPr>
        <w:t>，</w:t>
      </w:r>
      <w:r>
        <w:rPr>
          <w:rFonts w:hint="eastAsia" w:ascii="Calibri" w:hAnsi="Calibri" w:cs="Calibri"/>
          <w:color w:val="auto"/>
          <w:sz w:val="32"/>
          <w:szCs w:val="20"/>
          <w:highlight w:val="none"/>
          <w:lang w:val="en-US" w:eastAsia="zh-CN"/>
        </w:rPr>
        <w:t>对本单位所执行的行政许可受理及批核、行政处罚、行政检查等情况予以公开，做到行政、执法的透明公开。</w:t>
      </w:r>
    </w:p>
    <w:p w14:paraId="687EDECF">
      <w:pPr>
        <w:keepNext w:val="0"/>
        <w:keepLines w:val="0"/>
        <w:widowControl w:val="0"/>
        <w:suppressLineNumbers w:val="0"/>
        <w:spacing w:before="0" w:beforeAutospacing="0" w:after="0" w:afterAutospacing="0"/>
        <w:ind w:left="0" w:right="0"/>
        <w:jc w:val="both"/>
        <w:rPr>
          <w:rFonts w:hint="eastAsia"/>
          <w:color w:val="auto"/>
          <w:highlight w:val="none"/>
        </w:rPr>
      </w:pPr>
      <w:r>
        <w:rPr>
          <w:rFonts w:hint="eastAsia" w:ascii="Calibri" w:hAnsi="Calibri" w:eastAsia="仿宋_GB2312" w:cs="Calibri"/>
          <w:color w:val="auto"/>
          <w:sz w:val="32"/>
          <w:szCs w:val="20"/>
          <w:highlight w:val="none"/>
          <w:lang w:val="en-US" w:eastAsia="zh-CN"/>
        </w:rPr>
        <w:t>区统计局发布的《关于开展区级机关</w:t>
      </w:r>
      <w:r>
        <w:rPr>
          <w:rFonts w:hint="default" w:ascii="Calibri" w:hAnsi="Calibri" w:eastAsia="仿宋_GB2312" w:cs="Calibri"/>
          <w:color w:val="auto"/>
          <w:sz w:val="32"/>
          <w:szCs w:val="20"/>
          <w:highlight w:val="none"/>
          <w:lang w:eastAsia="zh-CN"/>
        </w:rPr>
        <w:t>、</w:t>
      </w:r>
      <w:r>
        <w:rPr>
          <w:rFonts w:hint="eastAsia" w:ascii="Calibri" w:hAnsi="Calibri" w:eastAsia="仿宋_GB2312" w:cs="Calibri"/>
          <w:color w:val="auto"/>
          <w:sz w:val="32"/>
          <w:szCs w:val="20"/>
          <w:highlight w:val="none"/>
          <w:lang w:val="en-US" w:eastAsia="zh-CN"/>
        </w:rPr>
        <w:t>乡镇街道群众满意度评价调查情况的汇报》显示，</w:t>
      </w:r>
      <w:r>
        <w:rPr>
          <w:rFonts w:hint="default" w:ascii="Calibri" w:hAnsi="Calibri" w:cs="Calibri"/>
          <w:color w:val="auto"/>
          <w:sz w:val="32"/>
          <w:szCs w:val="20"/>
          <w:highlight w:val="none"/>
          <w:lang w:eastAsia="zh-CN"/>
        </w:rPr>
        <w:t>西郊街道</w:t>
      </w:r>
      <w:r>
        <w:rPr>
          <w:rFonts w:hint="eastAsia" w:ascii="Calibri" w:hAnsi="Calibri" w:eastAsia="仿宋_GB2312" w:cs="Calibri"/>
          <w:color w:val="auto"/>
          <w:sz w:val="32"/>
          <w:szCs w:val="20"/>
          <w:highlight w:val="none"/>
          <w:lang w:val="en-US" w:eastAsia="zh-CN"/>
        </w:rPr>
        <w:t>群众满意度评价得分9</w:t>
      </w:r>
      <w:r>
        <w:rPr>
          <w:rFonts w:hint="default" w:ascii="Calibri" w:hAnsi="Calibri" w:cs="Calibri"/>
          <w:color w:val="auto"/>
          <w:sz w:val="32"/>
          <w:szCs w:val="20"/>
          <w:highlight w:val="none"/>
          <w:lang w:eastAsia="zh-CN"/>
        </w:rPr>
        <w:t>6.48</w:t>
      </w:r>
      <w:r>
        <w:rPr>
          <w:rFonts w:hint="default" w:ascii="Calibri" w:hAnsi="Calibri" w:eastAsia="仿宋_GB2312" w:cs="Calibri"/>
          <w:color w:val="auto"/>
          <w:sz w:val="32"/>
          <w:szCs w:val="20"/>
          <w:highlight w:val="none"/>
          <w:lang w:eastAsia="zh-CN"/>
        </w:rPr>
        <w:t>；评价小组</w:t>
      </w:r>
      <w:r>
        <w:rPr>
          <w:rFonts w:hint="eastAsia"/>
          <w:color w:val="auto"/>
          <w:highlight w:val="none"/>
          <w:lang w:val="en-US" w:eastAsia="zh-CN"/>
        </w:rPr>
        <w:t>以发放电子问卷的形式，对</w:t>
      </w:r>
      <w:r>
        <w:rPr>
          <w:rFonts w:hint="default"/>
          <w:color w:val="auto"/>
          <w:highlight w:val="none"/>
          <w:lang w:eastAsia="zh-CN"/>
        </w:rPr>
        <w:t>西郊街道</w:t>
      </w:r>
      <w:r>
        <w:rPr>
          <w:rFonts w:hint="eastAsia"/>
          <w:color w:val="auto"/>
          <w:highlight w:val="none"/>
          <w:lang w:val="en-US" w:eastAsia="zh-CN"/>
        </w:rPr>
        <w:t>开展满意度调研工作</w:t>
      </w:r>
      <w:r>
        <w:rPr>
          <w:rFonts w:hint="default"/>
          <w:color w:val="auto"/>
          <w:highlight w:val="none"/>
          <w:lang w:eastAsia="zh-CN"/>
        </w:rPr>
        <w:t>，共收到23份问卷回复，</w:t>
      </w:r>
      <w:r>
        <w:rPr>
          <w:rFonts w:hint="eastAsia" w:ascii="Calibri" w:hAnsi="Calibri" w:eastAsia="仿宋_GB2312" w:cs="Calibri"/>
          <w:color w:val="auto"/>
          <w:sz w:val="32"/>
          <w:szCs w:val="20"/>
          <w:highlight w:val="none"/>
        </w:rPr>
        <w:t>剔除受访人员中的“行政机关工作人员”（</w:t>
      </w:r>
      <w:r>
        <w:rPr>
          <w:rFonts w:hint="default" w:ascii="Calibri" w:hAnsi="Calibri" w:cs="Calibri"/>
          <w:color w:val="auto"/>
          <w:sz w:val="32"/>
          <w:szCs w:val="20"/>
          <w:highlight w:val="none"/>
        </w:rPr>
        <w:t>1</w:t>
      </w:r>
      <w:r>
        <w:rPr>
          <w:rFonts w:hint="eastAsia" w:ascii="Calibri" w:hAnsi="Calibri" w:eastAsia="仿宋_GB2312" w:cs="Calibri"/>
          <w:color w:val="auto"/>
          <w:sz w:val="32"/>
          <w:szCs w:val="20"/>
          <w:highlight w:val="none"/>
        </w:rPr>
        <w:t>人）后，</w:t>
      </w:r>
      <w:r>
        <w:rPr>
          <w:rFonts w:hint="default" w:ascii="Calibri" w:hAnsi="Calibri" w:eastAsia="仿宋_GB2312" w:cs="Calibri"/>
          <w:color w:val="auto"/>
          <w:sz w:val="32"/>
          <w:szCs w:val="20"/>
          <w:highlight w:val="none"/>
        </w:rPr>
        <w:t>剩余</w:t>
      </w:r>
      <w:r>
        <w:rPr>
          <w:rFonts w:hint="eastAsia" w:ascii="Calibri" w:hAnsi="Calibri" w:cs="Calibri"/>
          <w:color w:val="auto"/>
          <w:sz w:val="32"/>
          <w:szCs w:val="20"/>
          <w:highlight w:val="none"/>
          <w:lang w:val="en-US" w:eastAsia="zh-CN"/>
        </w:rPr>
        <w:t>受访者</w:t>
      </w:r>
      <w:r>
        <w:rPr>
          <w:rFonts w:hint="default" w:ascii="Calibri" w:hAnsi="Calibri" w:eastAsia="仿宋_GB2312" w:cs="Calibri"/>
          <w:color w:val="auto"/>
          <w:sz w:val="32"/>
          <w:szCs w:val="20"/>
          <w:highlight w:val="none"/>
        </w:rPr>
        <w:t>对部门工作的总价评价表示</w:t>
      </w:r>
      <w:r>
        <w:rPr>
          <w:rFonts w:hint="eastAsia" w:ascii="Calibri" w:hAnsi="Calibri" w:cs="Calibri"/>
          <w:color w:val="auto"/>
          <w:sz w:val="32"/>
          <w:szCs w:val="20"/>
          <w:highlight w:val="none"/>
          <w:lang w:eastAsia="zh-CN"/>
        </w:rPr>
        <w:t>“</w:t>
      </w:r>
      <w:r>
        <w:rPr>
          <w:rFonts w:hint="default" w:ascii="Calibri" w:hAnsi="Calibri" w:eastAsia="仿宋_GB2312" w:cs="Calibri"/>
          <w:color w:val="auto"/>
          <w:sz w:val="32"/>
          <w:szCs w:val="20"/>
          <w:highlight w:val="none"/>
        </w:rPr>
        <w:t>非常满意</w:t>
      </w:r>
      <w:r>
        <w:rPr>
          <w:rFonts w:hint="default" w:ascii="Calibri" w:hAnsi="Calibri" w:cs="Calibri"/>
          <w:color w:val="auto"/>
          <w:sz w:val="32"/>
          <w:szCs w:val="20"/>
          <w:highlight w:val="none"/>
        </w:rPr>
        <w:t>（21人）</w:t>
      </w:r>
      <w:r>
        <w:rPr>
          <w:rFonts w:hint="eastAsia" w:ascii="Calibri" w:hAnsi="Calibri" w:cs="Calibri"/>
          <w:color w:val="auto"/>
          <w:sz w:val="32"/>
          <w:szCs w:val="20"/>
          <w:highlight w:val="none"/>
          <w:lang w:eastAsia="zh-CN"/>
        </w:rPr>
        <w:t>”</w:t>
      </w:r>
      <w:r>
        <w:rPr>
          <w:rFonts w:hint="default" w:ascii="Calibri" w:hAnsi="Calibri" w:cs="Calibri"/>
          <w:color w:val="auto"/>
          <w:sz w:val="32"/>
          <w:szCs w:val="20"/>
          <w:highlight w:val="none"/>
        </w:rPr>
        <w:t>和</w:t>
      </w:r>
      <w:r>
        <w:rPr>
          <w:rFonts w:hint="eastAsia" w:ascii="Calibri" w:hAnsi="Calibri" w:cs="Calibri"/>
          <w:color w:val="auto"/>
          <w:sz w:val="32"/>
          <w:szCs w:val="20"/>
          <w:highlight w:val="none"/>
          <w:lang w:eastAsia="zh-CN"/>
        </w:rPr>
        <w:t>“</w:t>
      </w:r>
      <w:r>
        <w:rPr>
          <w:rFonts w:hint="default" w:ascii="Calibri" w:hAnsi="Calibri" w:cs="Calibri"/>
          <w:color w:val="auto"/>
          <w:sz w:val="32"/>
          <w:szCs w:val="20"/>
          <w:highlight w:val="none"/>
        </w:rPr>
        <w:t>满意（1人）</w:t>
      </w:r>
      <w:r>
        <w:rPr>
          <w:rFonts w:hint="eastAsia" w:ascii="Calibri" w:hAnsi="Calibri" w:cs="Calibri"/>
          <w:color w:val="auto"/>
          <w:sz w:val="32"/>
          <w:szCs w:val="20"/>
          <w:highlight w:val="none"/>
          <w:lang w:eastAsia="zh-CN"/>
        </w:rPr>
        <w:t>”</w:t>
      </w:r>
      <w:r>
        <w:rPr>
          <w:rFonts w:hint="default" w:ascii="Calibri" w:hAnsi="Calibri" w:eastAsia="仿宋_GB2312" w:cs="Calibri"/>
          <w:color w:val="auto"/>
          <w:sz w:val="32"/>
          <w:szCs w:val="20"/>
          <w:highlight w:val="none"/>
        </w:rPr>
        <w:t>，部门总体满意度为100%。</w:t>
      </w:r>
    </w:p>
    <w:p w14:paraId="5108AF91">
      <w:pPr>
        <w:rPr>
          <w:rFonts w:hint="eastAsia" w:eastAsia="仿宋_GB2312"/>
          <w:color w:val="auto"/>
          <w:highlight w:val="none"/>
          <w:lang w:eastAsia="zh-CN"/>
        </w:rPr>
      </w:pPr>
      <w:r>
        <w:rPr>
          <w:rFonts w:hint="eastAsia"/>
          <w:color w:val="auto"/>
          <w:highlight w:val="none"/>
        </w:rPr>
        <w:t>综上，</w:t>
      </w:r>
      <w:r>
        <w:rPr>
          <w:rFonts w:hint="default"/>
          <w:color w:val="auto"/>
          <w:highlight w:val="none"/>
        </w:rPr>
        <w:t>公平性</w:t>
      </w:r>
      <w:r>
        <w:rPr>
          <w:rFonts w:hint="eastAsia"/>
          <w:color w:val="auto"/>
          <w:highlight w:val="none"/>
          <w:lang w:val="en-US" w:eastAsia="zh-CN"/>
        </w:rPr>
        <w:t>得分为</w:t>
      </w:r>
      <w:r>
        <w:rPr>
          <w:rFonts w:hint="default"/>
          <w:color w:val="auto"/>
          <w:highlight w:val="none"/>
          <w:lang w:eastAsia="zh-CN"/>
        </w:rPr>
        <w:t>3</w:t>
      </w:r>
      <w:r>
        <w:rPr>
          <w:rFonts w:hint="eastAsia"/>
          <w:color w:val="auto"/>
          <w:highlight w:val="none"/>
        </w:rPr>
        <w:t>分，得分率为</w:t>
      </w:r>
      <w:r>
        <w:rPr>
          <w:rFonts w:hint="default"/>
          <w:color w:val="auto"/>
          <w:highlight w:val="none"/>
        </w:rPr>
        <w:t>100</w:t>
      </w:r>
      <w:r>
        <w:rPr>
          <w:rFonts w:hint="eastAsia"/>
          <w:color w:val="auto"/>
          <w:highlight w:val="none"/>
        </w:rPr>
        <w:t>%。</w:t>
      </w:r>
    </w:p>
    <w:p w14:paraId="14B6BE21">
      <w:pPr>
        <w:bidi w:val="0"/>
        <w:ind w:left="0" w:leftChars="0" w:firstLine="0" w:firstLineChars="0"/>
        <w:rPr>
          <w:rFonts w:hint="eastAsia"/>
          <w:color w:val="auto"/>
          <w:highlight w:val="none"/>
        </w:rPr>
      </w:pPr>
    </w:p>
    <w:p w14:paraId="7BEA0E23">
      <w:pPr>
        <w:pStyle w:val="4"/>
        <w:bidi w:val="0"/>
        <w:rPr>
          <w:rFonts w:hint="eastAsia"/>
          <w:color w:val="auto"/>
          <w:highlight w:val="none"/>
          <w:lang w:val="en-US" w:eastAsia="zh-CN"/>
        </w:rPr>
      </w:pPr>
      <w:bookmarkStart w:id="44" w:name="_Toc18146"/>
      <w:r>
        <w:rPr>
          <w:rFonts w:hint="eastAsia"/>
          <w:color w:val="auto"/>
          <w:highlight w:val="none"/>
        </w:rPr>
        <w:t>（四）</w:t>
      </w:r>
      <w:bookmarkEnd w:id="42"/>
      <w:bookmarkEnd w:id="43"/>
      <w:r>
        <w:rPr>
          <w:rFonts w:hint="eastAsia"/>
          <w:color w:val="auto"/>
          <w:highlight w:val="none"/>
          <w:lang w:val="en-US" w:eastAsia="zh-CN"/>
        </w:rPr>
        <w:t>加减分项</w:t>
      </w:r>
      <w:bookmarkEnd w:id="44"/>
    </w:p>
    <w:p w14:paraId="08DA8168">
      <w:pPr>
        <w:bidi w:val="0"/>
        <w:rPr>
          <w:rFonts w:hint="eastAsia"/>
          <w:color w:val="auto"/>
          <w:highlight w:val="none"/>
          <w:lang w:val="en-US" w:eastAsia="zh-CN"/>
        </w:rPr>
      </w:pPr>
      <w:r>
        <w:rPr>
          <w:rFonts w:hint="default"/>
          <w:color w:val="auto"/>
          <w:highlight w:val="none"/>
          <w:lang w:eastAsia="zh-CN"/>
        </w:rPr>
        <w:t>根据《梅州市梅江区财政局关于2022年度预算绩效管理工作考核情况的通报》</w:t>
      </w:r>
      <w:r>
        <w:rPr>
          <w:rFonts w:hint="eastAsia"/>
          <w:color w:val="auto"/>
          <w:highlight w:val="none"/>
          <w:lang w:val="en-US" w:eastAsia="zh-CN"/>
        </w:rPr>
        <w:t>被评</w:t>
      </w:r>
      <w:r>
        <w:rPr>
          <w:rFonts w:hint="default"/>
          <w:color w:val="auto"/>
          <w:highlight w:val="none"/>
          <w:lang w:val="en-US" w:eastAsia="zh-CN"/>
        </w:rPr>
        <w:t>部门</w:t>
      </w:r>
      <w:r>
        <w:rPr>
          <w:rFonts w:hint="eastAsia"/>
          <w:color w:val="auto"/>
          <w:highlight w:val="none"/>
          <w:lang w:val="en-US" w:eastAsia="zh-CN"/>
        </w:rPr>
        <w:t>2022年度因</w:t>
      </w:r>
      <w:r>
        <w:rPr>
          <w:rFonts w:hint="default"/>
          <w:color w:val="auto"/>
          <w:highlight w:val="none"/>
          <w:lang w:val="en-US" w:eastAsia="zh-CN"/>
        </w:rPr>
        <w:t>预算编制及执行</w:t>
      </w:r>
      <w:r>
        <w:rPr>
          <w:rFonts w:hint="eastAsia"/>
          <w:color w:val="auto"/>
          <w:highlight w:val="none"/>
          <w:lang w:val="en-US" w:eastAsia="zh-CN"/>
        </w:rPr>
        <w:t>工作受到区级表扬</w:t>
      </w:r>
      <w:r>
        <w:rPr>
          <w:rFonts w:hint="default"/>
          <w:color w:val="auto"/>
          <w:highlight w:val="none"/>
          <w:lang w:eastAsia="zh-CN"/>
        </w:rPr>
        <w:t>可加2分。</w:t>
      </w:r>
      <w:r>
        <w:rPr>
          <w:rFonts w:hint="eastAsia"/>
          <w:color w:val="auto"/>
          <w:highlight w:val="none"/>
          <w:lang w:val="en-US" w:eastAsia="zh-CN"/>
        </w:rPr>
        <w:t>未发生接受监督检查、绩效评价时被发现违规行为、绩效评价结果为差、受到通报批评等扣分情况。被评部门能在区财政局所规定的时限内完成预算材料报送，符合预算相关工作总体工作进度要求。</w:t>
      </w:r>
    </w:p>
    <w:p w14:paraId="577AB30F">
      <w:pPr>
        <w:bidi w:val="0"/>
        <w:rPr>
          <w:rFonts w:hint="default"/>
          <w:color w:val="auto"/>
          <w:highlight w:val="none"/>
          <w:lang w:eastAsia="zh-CN"/>
        </w:rPr>
      </w:pPr>
      <w:r>
        <w:rPr>
          <w:rFonts w:hint="default"/>
          <w:color w:val="auto"/>
          <w:highlight w:val="none"/>
          <w:lang w:eastAsia="zh-CN"/>
        </w:rPr>
        <w:t>综上，加减分项得分为2分。</w:t>
      </w:r>
    </w:p>
    <w:p w14:paraId="341A33F9">
      <w:pPr>
        <w:bidi w:val="0"/>
        <w:rPr>
          <w:rFonts w:hint="default"/>
          <w:color w:val="auto"/>
          <w:highlight w:val="none"/>
          <w:lang w:eastAsia="zh-CN"/>
        </w:rPr>
      </w:pPr>
    </w:p>
    <w:p w14:paraId="6DA76811">
      <w:pPr>
        <w:pStyle w:val="4"/>
        <w:bidi w:val="0"/>
        <w:rPr>
          <w:rFonts w:hint="default"/>
          <w:color w:val="auto"/>
          <w:highlight w:val="none"/>
          <w:lang w:val="en-US" w:eastAsia="zh-CN"/>
        </w:rPr>
      </w:pPr>
      <w:bookmarkStart w:id="45" w:name="_Toc23610"/>
      <w:r>
        <w:rPr>
          <w:rFonts w:hint="eastAsia"/>
          <w:color w:val="auto"/>
          <w:highlight w:val="none"/>
          <w:lang w:val="en-US" w:eastAsia="zh-CN"/>
        </w:rPr>
        <w:t>（五）指标分析总结</w:t>
      </w:r>
      <w:bookmarkEnd w:id="45"/>
    </w:p>
    <w:p w14:paraId="53337524">
      <w:pPr>
        <w:bidi w:val="0"/>
        <w:rPr>
          <w:rFonts w:hint="default"/>
          <w:color w:val="auto"/>
          <w:highlight w:val="none"/>
          <w:lang w:val="en-US" w:eastAsia="zh-CN"/>
        </w:rPr>
      </w:pPr>
      <w:r>
        <w:rPr>
          <w:rFonts w:hint="eastAsia"/>
          <w:color w:val="auto"/>
          <w:highlight w:val="none"/>
          <w:lang w:val="en-US" w:eastAsia="zh-CN"/>
        </w:rPr>
        <w:t>综合上述指标评分情况，被评单位在2022年度能较好地履行其法定职能，</w:t>
      </w:r>
      <w:r>
        <w:rPr>
          <w:rFonts w:hint="default"/>
          <w:color w:val="auto"/>
          <w:highlight w:val="none"/>
          <w:lang w:eastAsia="zh-CN"/>
        </w:rPr>
        <w:t>各项工作得到有效推进</w:t>
      </w:r>
      <w:r>
        <w:rPr>
          <w:rFonts w:hint="eastAsia"/>
          <w:color w:val="auto"/>
          <w:highlight w:val="none"/>
          <w:lang w:val="en-US" w:eastAsia="zh-CN"/>
        </w:rPr>
        <w:t>。其中被评单位在</w:t>
      </w:r>
      <w:r>
        <w:rPr>
          <w:rFonts w:hint="default"/>
          <w:color w:val="auto"/>
          <w:highlight w:val="none"/>
          <w:lang w:eastAsia="zh-CN"/>
        </w:rPr>
        <w:t>资金管理</w:t>
      </w:r>
      <w:r>
        <w:rPr>
          <w:rFonts w:hint="eastAsia"/>
          <w:color w:val="auto"/>
          <w:highlight w:val="none"/>
          <w:lang w:val="en-US" w:eastAsia="zh-CN"/>
        </w:rPr>
        <w:t>、采购管理</w:t>
      </w:r>
      <w:r>
        <w:rPr>
          <w:rFonts w:hint="default"/>
          <w:color w:val="auto"/>
          <w:highlight w:val="none"/>
          <w:lang w:eastAsia="zh-CN"/>
        </w:rPr>
        <w:t>、经济性</w:t>
      </w:r>
      <w:r>
        <w:rPr>
          <w:rFonts w:hint="eastAsia"/>
          <w:color w:val="auto"/>
          <w:highlight w:val="none"/>
          <w:lang w:val="en-US" w:eastAsia="zh-CN"/>
        </w:rPr>
        <w:t>及公平性方面都有较为优秀的表现，但由于对绩效管理认识的深度不足，导致在目标设置、项目管理、项目产出的效果性方面仍有待加强。综上，</w:t>
      </w:r>
      <w:r>
        <w:rPr>
          <w:rFonts w:hint="eastAsia"/>
          <w:b/>
          <w:bCs/>
          <w:color w:val="auto"/>
          <w:highlight w:val="none"/>
          <w:lang w:val="en-US" w:eastAsia="zh-CN"/>
        </w:rPr>
        <w:t>被评单位</w:t>
      </w:r>
      <w:r>
        <w:rPr>
          <w:rFonts w:hint="default"/>
          <w:b/>
          <w:bCs/>
          <w:color w:val="auto"/>
          <w:highlight w:val="none"/>
          <w:lang w:val="en-US" w:eastAsia="zh-CN"/>
        </w:rPr>
        <w:t>绩效评价综合得分为</w:t>
      </w:r>
      <w:r>
        <w:rPr>
          <w:rFonts w:hint="default"/>
          <w:b/>
          <w:bCs/>
          <w:color w:val="auto"/>
          <w:highlight w:val="none"/>
          <w:lang w:eastAsia="zh-CN"/>
        </w:rPr>
        <w:t>74.43</w:t>
      </w:r>
      <w:r>
        <w:rPr>
          <w:rFonts w:hint="default"/>
          <w:b/>
          <w:bCs/>
          <w:color w:val="auto"/>
          <w:highlight w:val="none"/>
          <w:lang w:val="en-US" w:eastAsia="zh-CN"/>
        </w:rPr>
        <w:t>分，等级为</w:t>
      </w:r>
      <w:r>
        <w:rPr>
          <w:rFonts w:hint="eastAsia"/>
          <w:b/>
          <w:bCs/>
          <w:color w:val="auto"/>
          <w:highlight w:val="none"/>
          <w:lang w:val="en-US" w:eastAsia="zh-CN"/>
        </w:rPr>
        <w:t>“中”</w:t>
      </w:r>
      <w:r>
        <w:rPr>
          <w:rFonts w:hint="default"/>
          <w:color w:val="auto"/>
          <w:highlight w:val="none"/>
          <w:lang w:val="en-US" w:eastAsia="zh-CN"/>
        </w:rPr>
        <w:t>。各项指标得分情况见下表：</w:t>
      </w:r>
    </w:p>
    <w:p w14:paraId="772F8FE6">
      <w:pPr>
        <w:bidi w:val="0"/>
        <w:rPr>
          <w:rFonts w:hint="default"/>
          <w:color w:val="auto"/>
          <w:highlight w:val="none"/>
          <w:lang w:val="en-US" w:eastAsia="zh-CN"/>
        </w:rPr>
      </w:pPr>
    </w:p>
    <w:p w14:paraId="0947A4C7">
      <w:pPr>
        <w:keepNext w:val="0"/>
        <w:keepLines w:val="0"/>
        <w:pageBreakBefore w:val="0"/>
        <w:widowControl w:val="0"/>
        <w:kinsoku/>
        <w:wordWrap/>
        <w:overflowPunct/>
        <w:topLinePunct w:val="0"/>
        <w:autoSpaceDE/>
        <w:autoSpaceDN/>
        <w:bidi w:val="0"/>
        <w:adjustRightInd/>
        <w:snapToGrid w:val="0"/>
        <w:spacing w:after="226" w:afterLines="50"/>
        <w:ind w:left="0" w:leftChars="0" w:firstLine="0" w:firstLineChars="0"/>
        <w:jc w:val="center"/>
        <w:textAlignment w:val="auto"/>
        <w:rPr>
          <w:rFonts w:hint="default" w:ascii="Times New Roman" w:hAnsi="Times New Roman" w:eastAsia="华文中宋" w:cs="Times New Roman"/>
          <w:color w:val="auto"/>
          <w:sz w:val="28"/>
          <w:szCs w:val="20"/>
          <w:highlight w:val="none"/>
          <w:lang w:val="en-US" w:eastAsia="zh-CN"/>
        </w:rPr>
      </w:pPr>
      <w:r>
        <w:rPr>
          <w:rFonts w:hint="default" w:ascii="Times New Roman" w:hAnsi="Times New Roman" w:eastAsia="华文中宋" w:cs="Times New Roman"/>
          <w:color w:val="auto"/>
          <w:sz w:val="28"/>
          <w:szCs w:val="20"/>
          <w:highlight w:val="none"/>
          <w:lang w:val="en-US" w:eastAsia="zh-CN"/>
        </w:rPr>
        <w:t>表</w:t>
      </w:r>
      <w:r>
        <w:rPr>
          <w:rFonts w:hint="eastAsia" w:eastAsia="华文中宋" w:cs="Times New Roman"/>
          <w:color w:val="auto"/>
          <w:sz w:val="28"/>
          <w:szCs w:val="20"/>
          <w:highlight w:val="none"/>
          <w:lang w:val="en-US" w:eastAsia="zh-CN"/>
        </w:rPr>
        <w:t>3</w:t>
      </w:r>
      <w:r>
        <w:rPr>
          <w:rFonts w:hint="default" w:ascii="Times New Roman" w:hAnsi="Times New Roman" w:eastAsia="华文中宋" w:cs="Times New Roman"/>
          <w:color w:val="auto"/>
          <w:sz w:val="28"/>
          <w:szCs w:val="20"/>
          <w:highlight w:val="none"/>
          <w:lang w:val="en-US" w:eastAsia="zh-CN"/>
        </w:rPr>
        <w:t xml:space="preserve"> 绩效</w:t>
      </w:r>
      <w:r>
        <w:rPr>
          <w:rFonts w:hint="eastAsia" w:eastAsia="华文中宋" w:cs="Times New Roman"/>
          <w:color w:val="auto"/>
          <w:sz w:val="28"/>
          <w:szCs w:val="20"/>
          <w:highlight w:val="none"/>
          <w:lang w:val="en-US" w:eastAsia="zh-CN"/>
        </w:rPr>
        <w:t>评价</w:t>
      </w:r>
      <w:r>
        <w:rPr>
          <w:rFonts w:hint="default" w:ascii="Times New Roman" w:hAnsi="Times New Roman" w:eastAsia="华文中宋" w:cs="Times New Roman"/>
          <w:color w:val="auto"/>
          <w:sz w:val="28"/>
          <w:szCs w:val="20"/>
          <w:highlight w:val="none"/>
          <w:lang w:val="en-US" w:eastAsia="zh-CN"/>
        </w:rPr>
        <w:t>分值区间一览表</w:t>
      </w:r>
    </w:p>
    <w:tbl>
      <w:tblPr>
        <w:tblStyle w:val="22"/>
        <w:tblW w:w="9418" w:type="dxa"/>
        <w:tblInd w:w="-21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93"/>
        <w:gridCol w:w="1386"/>
        <w:gridCol w:w="4354"/>
        <w:gridCol w:w="1129"/>
        <w:gridCol w:w="1256"/>
      </w:tblGrid>
      <w:tr w14:paraId="13EEC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11F20">
            <w:pPr>
              <w:keepNext w:val="0"/>
              <w:keepLines w:val="0"/>
              <w:widowControl/>
              <w:suppressLineNumbers w:val="0"/>
              <w:spacing w:line="240" w:lineRule="auto"/>
              <w:ind w:left="0" w:leftChars="0" w:firstLine="0" w:firstLineChars="0"/>
              <w:jc w:val="center"/>
              <w:textAlignment w:val="center"/>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一级指标</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C6988">
            <w:pPr>
              <w:keepNext w:val="0"/>
              <w:keepLines w:val="0"/>
              <w:widowControl/>
              <w:suppressLineNumbers w:val="0"/>
              <w:spacing w:line="240" w:lineRule="auto"/>
              <w:ind w:left="0" w:leftChars="0" w:firstLine="0" w:firstLineChars="0"/>
              <w:jc w:val="center"/>
              <w:textAlignment w:val="center"/>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二级指标</w:t>
            </w:r>
          </w:p>
        </w:tc>
        <w:tc>
          <w:tcPr>
            <w:tcW w:w="4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F0474">
            <w:pPr>
              <w:keepNext w:val="0"/>
              <w:keepLines w:val="0"/>
              <w:widowControl/>
              <w:suppressLineNumbers w:val="0"/>
              <w:spacing w:line="240" w:lineRule="auto"/>
              <w:ind w:left="0" w:leftChars="0" w:firstLine="0" w:firstLineChars="0"/>
              <w:jc w:val="center"/>
              <w:textAlignment w:val="center"/>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三级指标</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E48FB">
            <w:pPr>
              <w:keepNext w:val="0"/>
              <w:keepLines w:val="0"/>
              <w:widowControl/>
              <w:suppressLineNumbers w:val="0"/>
              <w:spacing w:line="240" w:lineRule="auto"/>
              <w:ind w:left="0" w:leftChars="0" w:firstLine="0" w:firstLineChars="0"/>
              <w:jc w:val="center"/>
              <w:textAlignment w:val="center"/>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得分</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13633">
            <w:pPr>
              <w:keepNext w:val="0"/>
              <w:keepLines w:val="0"/>
              <w:widowControl/>
              <w:suppressLineNumbers w:val="0"/>
              <w:spacing w:line="240" w:lineRule="auto"/>
              <w:ind w:left="0" w:leftChars="0" w:firstLine="0" w:firstLineChars="0"/>
              <w:jc w:val="center"/>
              <w:textAlignment w:val="center"/>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得分率</w:t>
            </w:r>
          </w:p>
        </w:tc>
      </w:tr>
      <w:tr w14:paraId="5F915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3FE9D7">
            <w:pPr>
              <w:keepNext w:val="0"/>
              <w:keepLines w:val="0"/>
              <w:widowControl/>
              <w:suppressLineNumbers w:val="0"/>
              <w:spacing w:line="240" w:lineRule="auto"/>
              <w:ind w:left="0" w:leftChars="0" w:firstLine="0" w:firstLineChars="0"/>
              <w:jc w:val="center"/>
              <w:textAlignment w:val="center"/>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预算编制情况</w:t>
            </w:r>
          </w:p>
        </w:tc>
        <w:tc>
          <w:tcPr>
            <w:tcW w:w="13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202EE6">
            <w:pPr>
              <w:keepNext w:val="0"/>
              <w:keepLines w:val="0"/>
              <w:widowControl/>
              <w:suppressLineNumbers w:val="0"/>
              <w:spacing w:line="240" w:lineRule="auto"/>
              <w:ind w:left="0" w:leftChars="0" w:firstLine="0" w:firstLineChars="0"/>
              <w:jc w:val="center"/>
              <w:textAlignment w:val="center"/>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预算编制</w:t>
            </w:r>
          </w:p>
        </w:tc>
        <w:tc>
          <w:tcPr>
            <w:tcW w:w="4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9B6C2">
            <w:pPr>
              <w:keepNext w:val="0"/>
              <w:keepLines w:val="0"/>
              <w:widowControl/>
              <w:suppressLineNumbers w:val="0"/>
              <w:spacing w:line="240" w:lineRule="auto"/>
              <w:ind w:left="0" w:leftChars="0" w:firstLine="0" w:firstLineChars="0"/>
              <w:jc w:val="center"/>
              <w:textAlignment w:val="center"/>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预算编制合理性</w:t>
            </w:r>
          </w:p>
        </w:tc>
        <w:tc>
          <w:tcPr>
            <w:tcW w:w="11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44C1D7">
            <w:pPr>
              <w:keepNext w:val="0"/>
              <w:keepLines w:val="0"/>
              <w:widowControl/>
              <w:suppressLineNumbers w:val="0"/>
              <w:spacing w:line="240" w:lineRule="auto"/>
              <w:ind w:left="0" w:leftChars="0" w:firstLine="0" w:firstLineChars="0"/>
              <w:jc w:val="center"/>
              <w:textAlignment w:val="center"/>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7</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3256E">
            <w:pPr>
              <w:keepNext w:val="0"/>
              <w:keepLines w:val="0"/>
              <w:widowControl/>
              <w:suppressLineNumbers w:val="0"/>
              <w:spacing w:line="240" w:lineRule="auto"/>
              <w:ind w:left="0" w:leftChars="0" w:firstLine="0" w:firstLineChars="0"/>
              <w:jc w:val="center"/>
              <w:textAlignment w:val="center"/>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70%</w:t>
            </w:r>
          </w:p>
        </w:tc>
      </w:tr>
      <w:tr w14:paraId="43B92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DB319">
            <w:pPr>
              <w:keepNext w:val="0"/>
              <w:keepLines w:val="0"/>
              <w:widowControl/>
              <w:suppressLineNumbers w:val="0"/>
              <w:spacing w:line="240" w:lineRule="auto"/>
              <w:ind w:left="0" w:leftChars="0" w:firstLine="0" w:firstLineChars="0"/>
              <w:jc w:val="center"/>
              <w:textAlignment w:val="center"/>
              <w:rPr>
                <w:rFonts w:hint="eastAsia" w:ascii="Times New Roman" w:hAnsi="Times New Roman" w:cs="Times New Roman"/>
                <w:color w:val="auto"/>
                <w:sz w:val="24"/>
                <w:szCs w:val="24"/>
                <w:highlight w:val="none"/>
                <w:lang w:val="en-US" w:eastAsia="zh-CN"/>
              </w:rPr>
            </w:pP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D0BA4">
            <w:pPr>
              <w:keepNext w:val="0"/>
              <w:keepLines w:val="0"/>
              <w:widowControl/>
              <w:suppressLineNumbers w:val="0"/>
              <w:spacing w:line="240" w:lineRule="auto"/>
              <w:ind w:left="0" w:leftChars="0" w:firstLine="0" w:firstLineChars="0"/>
              <w:jc w:val="center"/>
              <w:textAlignment w:val="center"/>
              <w:rPr>
                <w:rFonts w:hint="eastAsia" w:ascii="Times New Roman" w:hAnsi="Times New Roman" w:cs="Times New Roman"/>
                <w:color w:val="auto"/>
                <w:sz w:val="24"/>
                <w:szCs w:val="24"/>
                <w:highlight w:val="none"/>
                <w:lang w:val="en-US" w:eastAsia="zh-CN"/>
              </w:rPr>
            </w:pPr>
          </w:p>
        </w:tc>
        <w:tc>
          <w:tcPr>
            <w:tcW w:w="4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F0178">
            <w:pPr>
              <w:keepNext w:val="0"/>
              <w:keepLines w:val="0"/>
              <w:widowControl/>
              <w:suppressLineNumbers w:val="0"/>
              <w:spacing w:line="240" w:lineRule="auto"/>
              <w:ind w:left="0" w:leftChars="0" w:firstLine="0" w:firstLineChars="0"/>
              <w:jc w:val="center"/>
              <w:textAlignment w:val="center"/>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预算编制规范性</w:t>
            </w: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DEFEB">
            <w:pPr>
              <w:keepNext w:val="0"/>
              <w:keepLines w:val="0"/>
              <w:widowControl/>
              <w:suppressLineNumbers w:val="0"/>
              <w:spacing w:line="240" w:lineRule="auto"/>
              <w:ind w:left="0" w:leftChars="0" w:firstLine="0" w:firstLineChars="0"/>
              <w:jc w:val="center"/>
              <w:textAlignment w:val="center"/>
              <w:rPr>
                <w:rFonts w:hint="eastAsia" w:ascii="Times New Roman" w:hAnsi="Times New Roman" w:cs="Times New Roman"/>
                <w:color w:val="auto"/>
                <w:sz w:val="24"/>
                <w:szCs w:val="24"/>
                <w:highlight w:val="none"/>
                <w:lang w:val="en-US" w:eastAsia="zh-CN"/>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A60F2">
            <w:pPr>
              <w:keepNext w:val="0"/>
              <w:keepLines w:val="0"/>
              <w:widowControl/>
              <w:suppressLineNumbers w:val="0"/>
              <w:spacing w:line="240" w:lineRule="auto"/>
              <w:ind w:left="0" w:leftChars="0" w:firstLine="0" w:firstLineChars="0"/>
              <w:jc w:val="center"/>
              <w:textAlignment w:val="center"/>
              <w:rPr>
                <w:rFonts w:hint="eastAsia" w:ascii="Times New Roman" w:hAnsi="Times New Roman" w:cs="Times New Roman"/>
                <w:color w:val="auto"/>
                <w:sz w:val="24"/>
                <w:szCs w:val="24"/>
                <w:highlight w:val="none"/>
                <w:lang w:val="en-US" w:eastAsia="zh-CN"/>
              </w:rPr>
            </w:pPr>
          </w:p>
        </w:tc>
      </w:tr>
      <w:tr w14:paraId="71F2F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7AC8E">
            <w:pPr>
              <w:keepNext w:val="0"/>
              <w:keepLines w:val="0"/>
              <w:widowControl/>
              <w:suppressLineNumbers w:val="0"/>
              <w:spacing w:line="240" w:lineRule="auto"/>
              <w:ind w:left="0" w:leftChars="0" w:firstLine="0" w:firstLineChars="0"/>
              <w:jc w:val="center"/>
              <w:textAlignment w:val="center"/>
              <w:rPr>
                <w:rFonts w:hint="eastAsia" w:ascii="Times New Roman" w:hAnsi="Times New Roman" w:cs="Times New Roman"/>
                <w:color w:val="auto"/>
                <w:sz w:val="24"/>
                <w:szCs w:val="24"/>
                <w:highlight w:val="none"/>
                <w:lang w:val="en-US" w:eastAsia="zh-CN"/>
              </w:rPr>
            </w:pP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1ED8E">
            <w:pPr>
              <w:keepNext w:val="0"/>
              <w:keepLines w:val="0"/>
              <w:widowControl/>
              <w:suppressLineNumbers w:val="0"/>
              <w:spacing w:line="240" w:lineRule="auto"/>
              <w:ind w:left="0" w:leftChars="0" w:firstLine="0" w:firstLineChars="0"/>
              <w:jc w:val="center"/>
              <w:textAlignment w:val="center"/>
              <w:rPr>
                <w:rFonts w:hint="eastAsia" w:ascii="Times New Roman" w:hAnsi="Times New Roman" w:cs="Times New Roman"/>
                <w:color w:val="auto"/>
                <w:sz w:val="24"/>
                <w:szCs w:val="24"/>
                <w:highlight w:val="none"/>
                <w:lang w:val="en-US" w:eastAsia="zh-CN"/>
              </w:rPr>
            </w:pPr>
          </w:p>
        </w:tc>
        <w:tc>
          <w:tcPr>
            <w:tcW w:w="4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861B9">
            <w:pPr>
              <w:keepNext w:val="0"/>
              <w:keepLines w:val="0"/>
              <w:widowControl/>
              <w:suppressLineNumbers w:val="0"/>
              <w:spacing w:line="240" w:lineRule="auto"/>
              <w:ind w:left="0" w:leftChars="0" w:firstLine="0" w:firstLineChars="0"/>
              <w:jc w:val="center"/>
              <w:textAlignment w:val="center"/>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财政拨款收入预决算差异率</w:t>
            </w: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7B9D0">
            <w:pPr>
              <w:keepNext w:val="0"/>
              <w:keepLines w:val="0"/>
              <w:widowControl/>
              <w:suppressLineNumbers w:val="0"/>
              <w:spacing w:line="240" w:lineRule="auto"/>
              <w:ind w:left="0" w:leftChars="0" w:firstLine="0" w:firstLineChars="0"/>
              <w:jc w:val="center"/>
              <w:textAlignment w:val="center"/>
              <w:rPr>
                <w:rFonts w:hint="eastAsia" w:ascii="Times New Roman" w:hAnsi="Times New Roman" w:cs="Times New Roman"/>
                <w:color w:val="auto"/>
                <w:sz w:val="24"/>
                <w:szCs w:val="24"/>
                <w:highlight w:val="none"/>
                <w:lang w:val="en-US" w:eastAsia="zh-CN"/>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63452">
            <w:pPr>
              <w:keepNext w:val="0"/>
              <w:keepLines w:val="0"/>
              <w:widowControl/>
              <w:suppressLineNumbers w:val="0"/>
              <w:spacing w:line="240" w:lineRule="auto"/>
              <w:ind w:left="0" w:leftChars="0" w:firstLine="0" w:firstLineChars="0"/>
              <w:jc w:val="center"/>
              <w:textAlignment w:val="center"/>
              <w:rPr>
                <w:rFonts w:hint="eastAsia" w:ascii="Times New Roman" w:hAnsi="Times New Roman" w:cs="Times New Roman"/>
                <w:color w:val="auto"/>
                <w:sz w:val="24"/>
                <w:szCs w:val="24"/>
                <w:highlight w:val="none"/>
                <w:lang w:val="en-US" w:eastAsia="zh-CN"/>
              </w:rPr>
            </w:pPr>
          </w:p>
        </w:tc>
      </w:tr>
      <w:tr w14:paraId="0C1DA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0085B">
            <w:pPr>
              <w:keepNext w:val="0"/>
              <w:keepLines w:val="0"/>
              <w:widowControl/>
              <w:suppressLineNumbers w:val="0"/>
              <w:spacing w:line="240" w:lineRule="auto"/>
              <w:ind w:left="0" w:leftChars="0" w:firstLine="0" w:firstLineChars="0"/>
              <w:jc w:val="center"/>
              <w:textAlignment w:val="center"/>
              <w:rPr>
                <w:rFonts w:hint="eastAsia" w:ascii="Times New Roman" w:hAnsi="Times New Roman" w:cs="Times New Roman"/>
                <w:color w:val="auto"/>
                <w:sz w:val="24"/>
                <w:szCs w:val="24"/>
                <w:highlight w:val="none"/>
                <w:lang w:val="en-US" w:eastAsia="zh-CN"/>
              </w:rPr>
            </w:pPr>
          </w:p>
        </w:tc>
        <w:tc>
          <w:tcPr>
            <w:tcW w:w="13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BE1C99">
            <w:pPr>
              <w:keepNext w:val="0"/>
              <w:keepLines w:val="0"/>
              <w:widowControl/>
              <w:suppressLineNumbers w:val="0"/>
              <w:spacing w:line="240" w:lineRule="auto"/>
              <w:ind w:left="0" w:leftChars="0" w:firstLine="0" w:firstLineChars="0"/>
              <w:jc w:val="center"/>
              <w:textAlignment w:val="center"/>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目标设置</w:t>
            </w:r>
          </w:p>
        </w:tc>
        <w:tc>
          <w:tcPr>
            <w:tcW w:w="4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47336">
            <w:pPr>
              <w:keepNext w:val="0"/>
              <w:keepLines w:val="0"/>
              <w:widowControl/>
              <w:suppressLineNumbers w:val="0"/>
              <w:spacing w:line="240" w:lineRule="auto"/>
              <w:ind w:left="0" w:leftChars="0" w:firstLine="0" w:firstLineChars="0"/>
              <w:jc w:val="center"/>
              <w:textAlignment w:val="center"/>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绩效目标合理性</w:t>
            </w:r>
          </w:p>
        </w:tc>
        <w:tc>
          <w:tcPr>
            <w:tcW w:w="11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14A323">
            <w:pPr>
              <w:keepNext w:val="0"/>
              <w:keepLines w:val="0"/>
              <w:widowControl/>
              <w:suppressLineNumbers w:val="0"/>
              <w:spacing w:line="240" w:lineRule="auto"/>
              <w:ind w:left="0" w:leftChars="0" w:firstLine="0" w:firstLineChars="0"/>
              <w:jc w:val="center"/>
              <w:textAlignment w:val="center"/>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5</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3C4845">
            <w:pPr>
              <w:keepNext w:val="0"/>
              <w:keepLines w:val="0"/>
              <w:widowControl/>
              <w:suppressLineNumbers w:val="0"/>
              <w:spacing w:line="240" w:lineRule="auto"/>
              <w:ind w:left="0" w:leftChars="0" w:firstLine="0" w:firstLineChars="0"/>
              <w:jc w:val="center"/>
              <w:textAlignment w:val="center"/>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55.55%</w:t>
            </w:r>
          </w:p>
        </w:tc>
      </w:tr>
      <w:tr w14:paraId="6B5FD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CC615">
            <w:pPr>
              <w:keepNext w:val="0"/>
              <w:keepLines w:val="0"/>
              <w:widowControl/>
              <w:suppressLineNumbers w:val="0"/>
              <w:spacing w:line="240" w:lineRule="auto"/>
              <w:ind w:left="0" w:leftChars="0" w:firstLine="0" w:firstLineChars="0"/>
              <w:jc w:val="center"/>
              <w:textAlignment w:val="center"/>
              <w:rPr>
                <w:rFonts w:hint="eastAsia" w:ascii="Times New Roman" w:hAnsi="Times New Roman" w:cs="Times New Roman"/>
                <w:color w:val="auto"/>
                <w:sz w:val="24"/>
                <w:szCs w:val="24"/>
                <w:highlight w:val="none"/>
                <w:lang w:val="en-US" w:eastAsia="zh-CN"/>
              </w:rPr>
            </w:pP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EC678">
            <w:pPr>
              <w:keepNext w:val="0"/>
              <w:keepLines w:val="0"/>
              <w:widowControl/>
              <w:suppressLineNumbers w:val="0"/>
              <w:spacing w:line="240" w:lineRule="auto"/>
              <w:ind w:left="0" w:leftChars="0" w:firstLine="0" w:firstLineChars="0"/>
              <w:jc w:val="center"/>
              <w:textAlignment w:val="center"/>
              <w:rPr>
                <w:rFonts w:hint="eastAsia" w:ascii="Times New Roman" w:hAnsi="Times New Roman" w:cs="Times New Roman"/>
                <w:color w:val="auto"/>
                <w:sz w:val="24"/>
                <w:szCs w:val="24"/>
                <w:highlight w:val="none"/>
                <w:lang w:val="en-US" w:eastAsia="zh-CN"/>
              </w:rPr>
            </w:pPr>
          </w:p>
        </w:tc>
        <w:tc>
          <w:tcPr>
            <w:tcW w:w="4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E534E">
            <w:pPr>
              <w:keepNext w:val="0"/>
              <w:keepLines w:val="0"/>
              <w:widowControl/>
              <w:suppressLineNumbers w:val="0"/>
              <w:spacing w:line="240" w:lineRule="auto"/>
              <w:ind w:left="0" w:leftChars="0" w:firstLine="0" w:firstLineChars="0"/>
              <w:jc w:val="center"/>
              <w:textAlignment w:val="center"/>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绩效指标明确性</w:t>
            </w: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A9A6E">
            <w:pPr>
              <w:keepNext w:val="0"/>
              <w:keepLines w:val="0"/>
              <w:widowControl/>
              <w:suppressLineNumbers w:val="0"/>
              <w:spacing w:line="240" w:lineRule="auto"/>
              <w:ind w:left="0" w:leftChars="0" w:firstLine="0" w:firstLineChars="0"/>
              <w:jc w:val="center"/>
              <w:textAlignment w:val="center"/>
              <w:rPr>
                <w:rFonts w:hint="eastAsia" w:ascii="Times New Roman" w:hAnsi="Times New Roman" w:cs="Times New Roman"/>
                <w:color w:val="auto"/>
                <w:sz w:val="24"/>
                <w:szCs w:val="24"/>
                <w:highlight w:val="none"/>
                <w:lang w:val="en-US" w:eastAsia="zh-CN"/>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5845A">
            <w:pPr>
              <w:keepNext w:val="0"/>
              <w:keepLines w:val="0"/>
              <w:widowControl/>
              <w:suppressLineNumbers w:val="0"/>
              <w:spacing w:line="240" w:lineRule="auto"/>
              <w:ind w:left="0" w:leftChars="0" w:firstLine="0" w:firstLineChars="0"/>
              <w:jc w:val="center"/>
              <w:textAlignment w:val="center"/>
              <w:rPr>
                <w:rFonts w:hint="eastAsia" w:ascii="Times New Roman" w:hAnsi="Times New Roman" w:cs="Times New Roman"/>
                <w:color w:val="auto"/>
                <w:sz w:val="24"/>
                <w:szCs w:val="24"/>
                <w:highlight w:val="none"/>
                <w:lang w:val="en-US" w:eastAsia="zh-CN"/>
              </w:rPr>
            </w:pPr>
          </w:p>
        </w:tc>
      </w:tr>
      <w:tr w14:paraId="5E8FB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B40C60">
            <w:pPr>
              <w:keepNext w:val="0"/>
              <w:keepLines w:val="0"/>
              <w:widowControl/>
              <w:suppressLineNumbers w:val="0"/>
              <w:spacing w:line="240" w:lineRule="auto"/>
              <w:ind w:left="0" w:leftChars="0" w:firstLine="0" w:firstLineChars="0"/>
              <w:jc w:val="center"/>
              <w:textAlignment w:val="center"/>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预算执行情况</w:t>
            </w:r>
          </w:p>
        </w:tc>
        <w:tc>
          <w:tcPr>
            <w:tcW w:w="13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40A58F">
            <w:pPr>
              <w:keepNext w:val="0"/>
              <w:keepLines w:val="0"/>
              <w:widowControl/>
              <w:suppressLineNumbers w:val="0"/>
              <w:spacing w:line="240" w:lineRule="auto"/>
              <w:ind w:left="0" w:leftChars="0" w:firstLine="0" w:firstLineChars="0"/>
              <w:jc w:val="center"/>
              <w:textAlignment w:val="center"/>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资金管理</w:t>
            </w:r>
          </w:p>
        </w:tc>
        <w:tc>
          <w:tcPr>
            <w:tcW w:w="4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0EC8A">
            <w:pPr>
              <w:keepNext w:val="0"/>
              <w:keepLines w:val="0"/>
              <w:widowControl/>
              <w:suppressLineNumbers w:val="0"/>
              <w:spacing w:line="240" w:lineRule="auto"/>
              <w:ind w:left="0" w:leftChars="0" w:firstLine="0" w:firstLineChars="0"/>
              <w:jc w:val="center"/>
              <w:textAlignment w:val="center"/>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结转结余率</w:t>
            </w:r>
          </w:p>
        </w:tc>
        <w:tc>
          <w:tcPr>
            <w:tcW w:w="11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CCA7BC">
            <w:pPr>
              <w:keepNext w:val="0"/>
              <w:keepLines w:val="0"/>
              <w:widowControl/>
              <w:suppressLineNumbers w:val="0"/>
              <w:spacing w:line="240" w:lineRule="auto"/>
              <w:ind w:left="0" w:leftChars="0" w:firstLine="0" w:firstLineChars="0"/>
              <w:jc w:val="center"/>
              <w:textAlignment w:val="center"/>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12.5</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4301C2">
            <w:pPr>
              <w:keepNext w:val="0"/>
              <w:keepLines w:val="0"/>
              <w:widowControl/>
              <w:suppressLineNumbers w:val="0"/>
              <w:spacing w:line="240" w:lineRule="auto"/>
              <w:ind w:left="0" w:leftChars="0" w:firstLine="0" w:firstLineChars="0"/>
              <w:jc w:val="center"/>
              <w:textAlignment w:val="center"/>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89.29%</w:t>
            </w:r>
          </w:p>
        </w:tc>
      </w:tr>
      <w:tr w14:paraId="5F4F6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EB7BD">
            <w:pPr>
              <w:keepNext w:val="0"/>
              <w:keepLines w:val="0"/>
              <w:widowControl/>
              <w:suppressLineNumbers w:val="0"/>
              <w:spacing w:line="240" w:lineRule="auto"/>
              <w:ind w:left="0" w:leftChars="0" w:firstLine="0" w:firstLineChars="0"/>
              <w:jc w:val="center"/>
              <w:textAlignment w:val="center"/>
              <w:rPr>
                <w:rFonts w:hint="eastAsia" w:ascii="Times New Roman" w:hAnsi="Times New Roman" w:cs="Times New Roman"/>
                <w:color w:val="auto"/>
                <w:sz w:val="24"/>
                <w:szCs w:val="24"/>
                <w:highlight w:val="none"/>
                <w:lang w:val="en-US" w:eastAsia="zh-CN"/>
              </w:rPr>
            </w:pP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44A6B">
            <w:pPr>
              <w:keepNext w:val="0"/>
              <w:keepLines w:val="0"/>
              <w:widowControl/>
              <w:suppressLineNumbers w:val="0"/>
              <w:spacing w:line="240" w:lineRule="auto"/>
              <w:ind w:left="0" w:leftChars="0" w:firstLine="0" w:firstLineChars="0"/>
              <w:jc w:val="center"/>
              <w:textAlignment w:val="center"/>
              <w:rPr>
                <w:rFonts w:hint="eastAsia" w:ascii="Times New Roman" w:hAnsi="Times New Roman" w:cs="Times New Roman"/>
                <w:color w:val="auto"/>
                <w:sz w:val="24"/>
                <w:szCs w:val="24"/>
                <w:highlight w:val="none"/>
                <w:lang w:val="en-US" w:eastAsia="zh-CN"/>
              </w:rPr>
            </w:pPr>
          </w:p>
        </w:tc>
        <w:tc>
          <w:tcPr>
            <w:tcW w:w="4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52CC9">
            <w:pPr>
              <w:keepNext w:val="0"/>
              <w:keepLines w:val="0"/>
              <w:widowControl/>
              <w:suppressLineNumbers w:val="0"/>
              <w:spacing w:line="240" w:lineRule="auto"/>
              <w:ind w:left="0" w:leftChars="0" w:firstLine="0" w:firstLineChars="0"/>
              <w:jc w:val="center"/>
              <w:textAlignment w:val="center"/>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单位会计核算规范性</w:t>
            </w: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0E2A5">
            <w:pPr>
              <w:keepNext w:val="0"/>
              <w:keepLines w:val="0"/>
              <w:widowControl/>
              <w:suppressLineNumbers w:val="0"/>
              <w:spacing w:line="240" w:lineRule="auto"/>
              <w:ind w:left="0" w:leftChars="0" w:firstLine="0" w:firstLineChars="0"/>
              <w:jc w:val="center"/>
              <w:textAlignment w:val="center"/>
              <w:rPr>
                <w:rFonts w:hint="eastAsia" w:ascii="Times New Roman" w:hAnsi="Times New Roman" w:cs="Times New Roman"/>
                <w:color w:val="auto"/>
                <w:sz w:val="24"/>
                <w:szCs w:val="24"/>
                <w:highlight w:val="none"/>
                <w:lang w:val="en-US" w:eastAsia="zh-CN"/>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48562">
            <w:pPr>
              <w:keepNext w:val="0"/>
              <w:keepLines w:val="0"/>
              <w:widowControl/>
              <w:suppressLineNumbers w:val="0"/>
              <w:spacing w:line="240" w:lineRule="auto"/>
              <w:ind w:left="0" w:leftChars="0" w:firstLine="0" w:firstLineChars="0"/>
              <w:jc w:val="center"/>
              <w:textAlignment w:val="center"/>
              <w:rPr>
                <w:rFonts w:hint="eastAsia" w:ascii="Times New Roman" w:hAnsi="Times New Roman" w:cs="Times New Roman"/>
                <w:color w:val="auto"/>
                <w:sz w:val="24"/>
                <w:szCs w:val="24"/>
                <w:highlight w:val="none"/>
                <w:lang w:val="en-US" w:eastAsia="zh-CN"/>
              </w:rPr>
            </w:pPr>
          </w:p>
        </w:tc>
      </w:tr>
      <w:tr w14:paraId="78DF7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6EE9D">
            <w:pPr>
              <w:keepNext w:val="0"/>
              <w:keepLines w:val="0"/>
              <w:widowControl/>
              <w:suppressLineNumbers w:val="0"/>
              <w:spacing w:line="240" w:lineRule="auto"/>
              <w:ind w:left="0" w:leftChars="0" w:firstLine="0" w:firstLineChars="0"/>
              <w:jc w:val="center"/>
              <w:textAlignment w:val="center"/>
              <w:rPr>
                <w:rFonts w:hint="eastAsia" w:ascii="Times New Roman" w:hAnsi="Times New Roman" w:cs="Times New Roman"/>
                <w:color w:val="auto"/>
                <w:sz w:val="24"/>
                <w:szCs w:val="24"/>
                <w:highlight w:val="none"/>
                <w:lang w:val="en-US" w:eastAsia="zh-CN"/>
              </w:rPr>
            </w:pP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94C17">
            <w:pPr>
              <w:keepNext w:val="0"/>
              <w:keepLines w:val="0"/>
              <w:widowControl/>
              <w:suppressLineNumbers w:val="0"/>
              <w:spacing w:line="240" w:lineRule="auto"/>
              <w:ind w:left="0" w:leftChars="0" w:firstLine="0" w:firstLineChars="0"/>
              <w:jc w:val="center"/>
              <w:textAlignment w:val="center"/>
              <w:rPr>
                <w:rFonts w:hint="eastAsia" w:ascii="Times New Roman" w:hAnsi="Times New Roman" w:cs="Times New Roman"/>
                <w:color w:val="auto"/>
                <w:sz w:val="24"/>
                <w:szCs w:val="24"/>
                <w:highlight w:val="none"/>
                <w:lang w:val="en-US" w:eastAsia="zh-CN"/>
              </w:rPr>
            </w:pPr>
          </w:p>
        </w:tc>
        <w:tc>
          <w:tcPr>
            <w:tcW w:w="4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B8AD7">
            <w:pPr>
              <w:keepNext w:val="0"/>
              <w:keepLines w:val="0"/>
              <w:widowControl/>
              <w:suppressLineNumbers w:val="0"/>
              <w:spacing w:line="240" w:lineRule="auto"/>
              <w:ind w:left="0" w:leftChars="0" w:firstLine="0" w:firstLineChars="0"/>
              <w:jc w:val="center"/>
              <w:textAlignment w:val="center"/>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财务管理合规性</w:t>
            </w: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E56E3">
            <w:pPr>
              <w:keepNext w:val="0"/>
              <w:keepLines w:val="0"/>
              <w:widowControl/>
              <w:suppressLineNumbers w:val="0"/>
              <w:spacing w:line="240" w:lineRule="auto"/>
              <w:ind w:left="0" w:leftChars="0" w:firstLine="0" w:firstLineChars="0"/>
              <w:jc w:val="center"/>
              <w:textAlignment w:val="center"/>
              <w:rPr>
                <w:rFonts w:hint="eastAsia" w:ascii="Times New Roman" w:hAnsi="Times New Roman" w:cs="Times New Roman"/>
                <w:color w:val="auto"/>
                <w:sz w:val="24"/>
                <w:szCs w:val="24"/>
                <w:highlight w:val="none"/>
                <w:lang w:val="en-US" w:eastAsia="zh-CN"/>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F5A6E">
            <w:pPr>
              <w:keepNext w:val="0"/>
              <w:keepLines w:val="0"/>
              <w:widowControl/>
              <w:suppressLineNumbers w:val="0"/>
              <w:spacing w:line="240" w:lineRule="auto"/>
              <w:ind w:left="0" w:leftChars="0" w:firstLine="0" w:firstLineChars="0"/>
              <w:jc w:val="center"/>
              <w:textAlignment w:val="center"/>
              <w:rPr>
                <w:rFonts w:hint="eastAsia" w:ascii="Times New Roman" w:hAnsi="Times New Roman" w:cs="Times New Roman"/>
                <w:color w:val="auto"/>
                <w:sz w:val="24"/>
                <w:szCs w:val="24"/>
                <w:highlight w:val="none"/>
                <w:lang w:val="en-US" w:eastAsia="zh-CN"/>
              </w:rPr>
            </w:pPr>
          </w:p>
        </w:tc>
      </w:tr>
      <w:tr w14:paraId="06211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4B94A">
            <w:pPr>
              <w:keepNext w:val="0"/>
              <w:keepLines w:val="0"/>
              <w:widowControl/>
              <w:suppressLineNumbers w:val="0"/>
              <w:spacing w:line="240" w:lineRule="auto"/>
              <w:ind w:left="0" w:leftChars="0" w:firstLine="0" w:firstLineChars="0"/>
              <w:jc w:val="center"/>
              <w:textAlignment w:val="center"/>
              <w:rPr>
                <w:rFonts w:hint="eastAsia" w:ascii="Times New Roman" w:hAnsi="Times New Roman" w:cs="Times New Roman"/>
                <w:color w:val="auto"/>
                <w:sz w:val="24"/>
                <w:szCs w:val="24"/>
                <w:highlight w:val="none"/>
                <w:lang w:val="en-US" w:eastAsia="zh-CN"/>
              </w:rPr>
            </w:pPr>
          </w:p>
        </w:tc>
        <w:tc>
          <w:tcPr>
            <w:tcW w:w="13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8954E0">
            <w:pPr>
              <w:keepNext w:val="0"/>
              <w:keepLines w:val="0"/>
              <w:widowControl/>
              <w:suppressLineNumbers w:val="0"/>
              <w:spacing w:line="240" w:lineRule="auto"/>
              <w:ind w:left="0" w:leftChars="0" w:firstLine="0" w:firstLineChars="0"/>
              <w:jc w:val="center"/>
              <w:textAlignment w:val="center"/>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信息公开</w:t>
            </w:r>
          </w:p>
        </w:tc>
        <w:tc>
          <w:tcPr>
            <w:tcW w:w="4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98EF8">
            <w:pPr>
              <w:keepNext w:val="0"/>
              <w:keepLines w:val="0"/>
              <w:widowControl/>
              <w:suppressLineNumbers w:val="0"/>
              <w:spacing w:line="240" w:lineRule="auto"/>
              <w:ind w:left="0" w:leftChars="0" w:firstLine="0" w:firstLineChars="0"/>
              <w:jc w:val="center"/>
              <w:textAlignment w:val="center"/>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预决算公开合规性</w:t>
            </w:r>
          </w:p>
        </w:tc>
        <w:tc>
          <w:tcPr>
            <w:tcW w:w="11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3AB088">
            <w:pPr>
              <w:keepNext w:val="0"/>
              <w:keepLines w:val="0"/>
              <w:widowControl/>
              <w:suppressLineNumbers w:val="0"/>
              <w:spacing w:line="240" w:lineRule="auto"/>
              <w:ind w:left="0" w:leftChars="0" w:firstLine="0" w:firstLineChars="0"/>
              <w:jc w:val="center"/>
              <w:textAlignment w:val="center"/>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3</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2B27C0">
            <w:pPr>
              <w:keepNext w:val="0"/>
              <w:keepLines w:val="0"/>
              <w:widowControl/>
              <w:suppressLineNumbers w:val="0"/>
              <w:spacing w:line="240" w:lineRule="auto"/>
              <w:ind w:left="0" w:leftChars="0" w:firstLine="0" w:firstLineChars="0"/>
              <w:jc w:val="center"/>
              <w:textAlignment w:val="center"/>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75%</w:t>
            </w:r>
          </w:p>
        </w:tc>
      </w:tr>
      <w:tr w14:paraId="6C31F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4FB6D">
            <w:pPr>
              <w:keepNext w:val="0"/>
              <w:keepLines w:val="0"/>
              <w:widowControl/>
              <w:suppressLineNumbers w:val="0"/>
              <w:spacing w:line="240" w:lineRule="auto"/>
              <w:ind w:left="0" w:leftChars="0" w:firstLine="0" w:firstLineChars="0"/>
              <w:jc w:val="center"/>
              <w:textAlignment w:val="center"/>
              <w:rPr>
                <w:rFonts w:hint="eastAsia" w:ascii="Times New Roman" w:hAnsi="Times New Roman" w:cs="Times New Roman"/>
                <w:color w:val="auto"/>
                <w:sz w:val="24"/>
                <w:szCs w:val="24"/>
                <w:highlight w:val="none"/>
                <w:lang w:val="en-US" w:eastAsia="zh-CN"/>
              </w:rPr>
            </w:pP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81E1E">
            <w:pPr>
              <w:keepNext w:val="0"/>
              <w:keepLines w:val="0"/>
              <w:widowControl/>
              <w:suppressLineNumbers w:val="0"/>
              <w:spacing w:line="240" w:lineRule="auto"/>
              <w:ind w:left="0" w:leftChars="0" w:firstLine="0" w:firstLineChars="0"/>
              <w:jc w:val="center"/>
              <w:textAlignment w:val="center"/>
              <w:rPr>
                <w:rFonts w:hint="eastAsia" w:ascii="Times New Roman" w:hAnsi="Times New Roman" w:cs="Times New Roman"/>
                <w:color w:val="auto"/>
                <w:sz w:val="24"/>
                <w:szCs w:val="24"/>
                <w:highlight w:val="none"/>
                <w:lang w:val="en-US" w:eastAsia="zh-CN"/>
              </w:rPr>
            </w:pPr>
          </w:p>
        </w:tc>
        <w:tc>
          <w:tcPr>
            <w:tcW w:w="4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627EB">
            <w:pPr>
              <w:keepNext w:val="0"/>
              <w:keepLines w:val="0"/>
              <w:widowControl/>
              <w:suppressLineNumbers w:val="0"/>
              <w:spacing w:line="240" w:lineRule="auto"/>
              <w:ind w:left="0" w:leftChars="0" w:firstLine="0" w:firstLineChars="0"/>
              <w:jc w:val="center"/>
              <w:textAlignment w:val="center"/>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绩效信息公开情况</w:t>
            </w: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EE848">
            <w:pPr>
              <w:keepNext w:val="0"/>
              <w:keepLines w:val="0"/>
              <w:widowControl/>
              <w:suppressLineNumbers w:val="0"/>
              <w:spacing w:line="240" w:lineRule="auto"/>
              <w:ind w:left="0" w:leftChars="0" w:firstLine="0" w:firstLineChars="0"/>
              <w:jc w:val="center"/>
              <w:textAlignment w:val="center"/>
              <w:rPr>
                <w:rFonts w:hint="eastAsia" w:ascii="Times New Roman" w:hAnsi="Times New Roman" w:cs="Times New Roman"/>
                <w:color w:val="auto"/>
                <w:sz w:val="24"/>
                <w:szCs w:val="24"/>
                <w:highlight w:val="none"/>
                <w:lang w:val="en-US" w:eastAsia="zh-CN"/>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282DB">
            <w:pPr>
              <w:keepNext w:val="0"/>
              <w:keepLines w:val="0"/>
              <w:widowControl/>
              <w:suppressLineNumbers w:val="0"/>
              <w:spacing w:line="240" w:lineRule="auto"/>
              <w:ind w:left="0" w:leftChars="0" w:firstLine="0" w:firstLineChars="0"/>
              <w:jc w:val="center"/>
              <w:textAlignment w:val="center"/>
              <w:rPr>
                <w:rFonts w:hint="eastAsia" w:ascii="Times New Roman" w:hAnsi="Times New Roman" w:cs="Times New Roman"/>
                <w:color w:val="auto"/>
                <w:sz w:val="24"/>
                <w:szCs w:val="24"/>
                <w:highlight w:val="none"/>
                <w:lang w:val="en-US" w:eastAsia="zh-CN"/>
              </w:rPr>
            </w:pPr>
          </w:p>
        </w:tc>
      </w:tr>
      <w:tr w14:paraId="28F75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DA0C2">
            <w:pPr>
              <w:keepNext w:val="0"/>
              <w:keepLines w:val="0"/>
              <w:widowControl/>
              <w:suppressLineNumbers w:val="0"/>
              <w:spacing w:line="240" w:lineRule="auto"/>
              <w:ind w:left="0" w:leftChars="0" w:firstLine="0" w:firstLineChars="0"/>
              <w:jc w:val="center"/>
              <w:textAlignment w:val="center"/>
              <w:rPr>
                <w:rFonts w:hint="eastAsia" w:ascii="Times New Roman" w:hAnsi="Times New Roman" w:cs="Times New Roman"/>
                <w:color w:val="auto"/>
                <w:sz w:val="24"/>
                <w:szCs w:val="24"/>
                <w:highlight w:val="none"/>
                <w:lang w:val="en-US" w:eastAsia="zh-CN"/>
              </w:rPr>
            </w:pPr>
          </w:p>
        </w:tc>
        <w:tc>
          <w:tcPr>
            <w:tcW w:w="13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E680BA">
            <w:pPr>
              <w:keepNext w:val="0"/>
              <w:keepLines w:val="0"/>
              <w:widowControl/>
              <w:suppressLineNumbers w:val="0"/>
              <w:spacing w:line="240" w:lineRule="auto"/>
              <w:ind w:left="0" w:leftChars="0" w:firstLine="0" w:firstLineChars="0"/>
              <w:jc w:val="center"/>
              <w:textAlignment w:val="center"/>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采购管理</w:t>
            </w:r>
          </w:p>
        </w:tc>
        <w:tc>
          <w:tcPr>
            <w:tcW w:w="4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06BD5">
            <w:pPr>
              <w:keepNext w:val="0"/>
              <w:keepLines w:val="0"/>
              <w:widowControl/>
              <w:suppressLineNumbers w:val="0"/>
              <w:spacing w:line="240" w:lineRule="auto"/>
              <w:ind w:left="0" w:leftChars="0" w:firstLine="0" w:firstLineChars="0"/>
              <w:jc w:val="center"/>
              <w:textAlignment w:val="center"/>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政府采购执行率</w:t>
            </w:r>
          </w:p>
        </w:tc>
        <w:tc>
          <w:tcPr>
            <w:tcW w:w="11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E9C8A5">
            <w:pPr>
              <w:keepNext w:val="0"/>
              <w:keepLines w:val="0"/>
              <w:widowControl/>
              <w:suppressLineNumbers w:val="0"/>
              <w:spacing w:line="240" w:lineRule="auto"/>
              <w:ind w:left="0" w:leftChars="0" w:firstLine="0" w:firstLineChars="0"/>
              <w:jc w:val="center"/>
              <w:textAlignment w:val="center"/>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8.95</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6475BB">
            <w:pPr>
              <w:keepNext w:val="0"/>
              <w:keepLines w:val="0"/>
              <w:widowControl/>
              <w:suppressLineNumbers w:val="0"/>
              <w:spacing w:line="240" w:lineRule="auto"/>
              <w:ind w:left="0" w:leftChars="0" w:firstLine="0" w:firstLineChars="0"/>
              <w:jc w:val="center"/>
              <w:textAlignment w:val="center"/>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99.44%</w:t>
            </w:r>
          </w:p>
        </w:tc>
      </w:tr>
      <w:tr w14:paraId="53BE9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4022F">
            <w:pPr>
              <w:keepNext w:val="0"/>
              <w:keepLines w:val="0"/>
              <w:widowControl/>
              <w:suppressLineNumbers w:val="0"/>
              <w:spacing w:line="240" w:lineRule="auto"/>
              <w:ind w:left="0" w:leftChars="0" w:firstLine="0" w:firstLineChars="0"/>
              <w:jc w:val="center"/>
              <w:textAlignment w:val="center"/>
              <w:rPr>
                <w:rFonts w:hint="eastAsia" w:ascii="Times New Roman" w:hAnsi="Times New Roman" w:cs="Times New Roman"/>
                <w:color w:val="auto"/>
                <w:sz w:val="24"/>
                <w:szCs w:val="24"/>
                <w:highlight w:val="none"/>
                <w:lang w:val="en-US" w:eastAsia="zh-CN"/>
              </w:rPr>
            </w:pP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15329">
            <w:pPr>
              <w:keepNext w:val="0"/>
              <w:keepLines w:val="0"/>
              <w:widowControl/>
              <w:suppressLineNumbers w:val="0"/>
              <w:spacing w:line="240" w:lineRule="auto"/>
              <w:ind w:left="0" w:leftChars="0" w:firstLine="0" w:firstLineChars="0"/>
              <w:jc w:val="center"/>
              <w:textAlignment w:val="center"/>
              <w:rPr>
                <w:rFonts w:hint="eastAsia" w:ascii="Times New Roman" w:hAnsi="Times New Roman" w:cs="Times New Roman"/>
                <w:color w:val="auto"/>
                <w:sz w:val="24"/>
                <w:szCs w:val="24"/>
                <w:highlight w:val="none"/>
                <w:lang w:val="en-US" w:eastAsia="zh-CN"/>
              </w:rPr>
            </w:pPr>
          </w:p>
        </w:tc>
        <w:tc>
          <w:tcPr>
            <w:tcW w:w="4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C0132">
            <w:pPr>
              <w:keepNext w:val="0"/>
              <w:keepLines w:val="0"/>
              <w:widowControl/>
              <w:suppressLineNumbers w:val="0"/>
              <w:spacing w:line="240" w:lineRule="auto"/>
              <w:ind w:left="0" w:leftChars="0" w:firstLine="0" w:firstLineChars="0"/>
              <w:jc w:val="center"/>
              <w:textAlignment w:val="center"/>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采购合规性</w:t>
            </w: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840E1">
            <w:pPr>
              <w:keepNext w:val="0"/>
              <w:keepLines w:val="0"/>
              <w:widowControl/>
              <w:suppressLineNumbers w:val="0"/>
              <w:spacing w:line="240" w:lineRule="auto"/>
              <w:ind w:left="0" w:leftChars="0" w:firstLine="0" w:firstLineChars="0"/>
              <w:jc w:val="center"/>
              <w:textAlignment w:val="center"/>
              <w:rPr>
                <w:rFonts w:hint="eastAsia" w:ascii="Times New Roman" w:hAnsi="Times New Roman" w:cs="Times New Roman"/>
                <w:color w:val="auto"/>
                <w:sz w:val="24"/>
                <w:szCs w:val="24"/>
                <w:highlight w:val="none"/>
                <w:lang w:val="en-US" w:eastAsia="zh-CN"/>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BC192">
            <w:pPr>
              <w:keepNext w:val="0"/>
              <w:keepLines w:val="0"/>
              <w:widowControl/>
              <w:suppressLineNumbers w:val="0"/>
              <w:spacing w:line="240" w:lineRule="auto"/>
              <w:ind w:left="0" w:leftChars="0" w:firstLine="0" w:firstLineChars="0"/>
              <w:jc w:val="center"/>
              <w:textAlignment w:val="center"/>
              <w:rPr>
                <w:rFonts w:hint="eastAsia" w:ascii="Times New Roman" w:hAnsi="Times New Roman" w:cs="Times New Roman"/>
                <w:color w:val="auto"/>
                <w:sz w:val="24"/>
                <w:szCs w:val="24"/>
                <w:highlight w:val="none"/>
                <w:lang w:val="en-US" w:eastAsia="zh-CN"/>
              </w:rPr>
            </w:pPr>
          </w:p>
        </w:tc>
      </w:tr>
      <w:tr w14:paraId="3DE1C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4130A">
            <w:pPr>
              <w:keepNext w:val="0"/>
              <w:keepLines w:val="0"/>
              <w:widowControl/>
              <w:suppressLineNumbers w:val="0"/>
              <w:spacing w:line="240" w:lineRule="auto"/>
              <w:ind w:left="0" w:leftChars="0" w:firstLine="0" w:firstLineChars="0"/>
              <w:jc w:val="center"/>
              <w:textAlignment w:val="center"/>
              <w:rPr>
                <w:rFonts w:hint="eastAsia" w:ascii="Times New Roman" w:hAnsi="Times New Roman" w:cs="Times New Roman"/>
                <w:color w:val="auto"/>
                <w:sz w:val="24"/>
                <w:szCs w:val="24"/>
                <w:highlight w:val="none"/>
                <w:lang w:val="en-US" w:eastAsia="zh-CN"/>
              </w:rPr>
            </w:pPr>
          </w:p>
        </w:tc>
        <w:tc>
          <w:tcPr>
            <w:tcW w:w="13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4A952E">
            <w:pPr>
              <w:keepNext w:val="0"/>
              <w:keepLines w:val="0"/>
              <w:widowControl/>
              <w:suppressLineNumbers w:val="0"/>
              <w:spacing w:line="240" w:lineRule="auto"/>
              <w:ind w:left="0" w:leftChars="0" w:firstLine="0" w:firstLineChars="0"/>
              <w:jc w:val="center"/>
              <w:textAlignment w:val="center"/>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项目管理</w:t>
            </w:r>
          </w:p>
        </w:tc>
        <w:tc>
          <w:tcPr>
            <w:tcW w:w="4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FB34C">
            <w:pPr>
              <w:keepNext w:val="0"/>
              <w:keepLines w:val="0"/>
              <w:widowControl/>
              <w:suppressLineNumbers w:val="0"/>
              <w:spacing w:line="240" w:lineRule="auto"/>
              <w:ind w:left="0" w:leftChars="0" w:firstLine="0" w:firstLineChars="0"/>
              <w:jc w:val="center"/>
              <w:textAlignment w:val="center"/>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项目资金绩效完成情况</w:t>
            </w:r>
          </w:p>
        </w:tc>
        <w:tc>
          <w:tcPr>
            <w:tcW w:w="11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11DFB8">
            <w:pPr>
              <w:keepNext w:val="0"/>
              <w:keepLines w:val="0"/>
              <w:widowControl/>
              <w:suppressLineNumbers w:val="0"/>
              <w:spacing w:line="240" w:lineRule="auto"/>
              <w:ind w:left="0" w:leftChars="0" w:firstLine="0" w:firstLineChars="0"/>
              <w:jc w:val="center"/>
              <w:textAlignment w:val="center"/>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10.58</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D169F0">
            <w:pPr>
              <w:keepNext w:val="0"/>
              <w:keepLines w:val="0"/>
              <w:widowControl/>
              <w:suppressLineNumbers w:val="0"/>
              <w:spacing w:line="240" w:lineRule="auto"/>
              <w:ind w:left="0" w:leftChars="0" w:firstLine="0" w:firstLineChars="0"/>
              <w:jc w:val="center"/>
              <w:textAlignment w:val="center"/>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50.38%</w:t>
            </w:r>
          </w:p>
        </w:tc>
      </w:tr>
      <w:tr w14:paraId="72A7A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F6A90">
            <w:pPr>
              <w:keepNext w:val="0"/>
              <w:keepLines w:val="0"/>
              <w:widowControl/>
              <w:suppressLineNumbers w:val="0"/>
              <w:spacing w:line="240" w:lineRule="auto"/>
              <w:ind w:left="0" w:leftChars="0" w:firstLine="0" w:firstLineChars="0"/>
              <w:jc w:val="center"/>
              <w:textAlignment w:val="center"/>
              <w:rPr>
                <w:rFonts w:hint="eastAsia" w:ascii="Times New Roman" w:hAnsi="Times New Roman" w:cs="Times New Roman"/>
                <w:color w:val="auto"/>
                <w:sz w:val="24"/>
                <w:szCs w:val="24"/>
                <w:highlight w:val="none"/>
                <w:lang w:val="en-US" w:eastAsia="zh-CN"/>
              </w:rPr>
            </w:pP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9F0C4">
            <w:pPr>
              <w:keepNext w:val="0"/>
              <w:keepLines w:val="0"/>
              <w:widowControl/>
              <w:suppressLineNumbers w:val="0"/>
              <w:spacing w:line="240" w:lineRule="auto"/>
              <w:ind w:left="0" w:leftChars="0" w:firstLine="0" w:firstLineChars="0"/>
              <w:jc w:val="center"/>
              <w:textAlignment w:val="center"/>
              <w:rPr>
                <w:rFonts w:hint="eastAsia" w:ascii="Times New Roman" w:hAnsi="Times New Roman" w:cs="Times New Roman"/>
                <w:color w:val="auto"/>
                <w:sz w:val="24"/>
                <w:szCs w:val="24"/>
                <w:highlight w:val="none"/>
                <w:lang w:val="en-US" w:eastAsia="zh-CN"/>
              </w:rPr>
            </w:pPr>
          </w:p>
        </w:tc>
        <w:tc>
          <w:tcPr>
            <w:tcW w:w="4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0A2ED">
            <w:pPr>
              <w:keepNext w:val="0"/>
              <w:keepLines w:val="0"/>
              <w:widowControl/>
              <w:suppressLineNumbers w:val="0"/>
              <w:spacing w:line="240" w:lineRule="auto"/>
              <w:ind w:left="0" w:leftChars="0" w:firstLine="0" w:firstLineChars="0"/>
              <w:jc w:val="center"/>
              <w:textAlignment w:val="center"/>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项目实施程序</w:t>
            </w: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C6F70">
            <w:pPr>
              <w:keepNext w:val="0"/>
              <w:keepLines w:val="0"/>
              <w:widowControl/>
              <w:suppressLineNumbers w:val="0"/>
              <w:spacing w:line="240" w:lineRule="auto"/>
              <w:ind w:left="0" w:leftChars="0" w:firstLine="0" w:firstLineChars="0"/>
              <w:jc w:val="center"/>
              <w:textAlignment w:val="center"/>
              <w:rPr>
                <w:rFonts w:hint="eastAsia" w:ascii="Times New Roman" w:hAnsi="Times New Roman" w:cs="Times New Roman"/>
                <w:color w:val="auto"/>
                <w:sz w:val="24"/>
                <w:szCs w:val="24"/>
                <w:highlight w:val="none"/>
                <w:lang w:val="en-US" w:eastAsia="zh-CN"/>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ED4F6">
            <w:pPr>
              <w:keepNext w:val="0"/>
              <w:keepLines w:val="0"/>
              <w:widowControl/>
              <w:suppressLineNumbers w:val="0"/>
              <w:spacing w:line="240" w:lineRule="auto"/>
              <w:ind w:left="0" w:leftChars="0" w:firstLine="0" w:firstLineChars="0"/>
              <w:jc w:val="center"/>
              <w:textAlignment w:val="center"/>
              <w:rPr>
                <w:rFonts w:hint="eastAsia" w:ascii="Times New Roman" w:hAnsi="Times New Roman" w:cs="Times New Roman"/>
                <w:color w:val="auto"/>
                <w:sz w:val="24"/>
                <w:szCs w:val="24"/>
                <w:highlight w:val="none"/>
                <w:lang w:val="en-US" w:eastAsia="zh-CN"/>
              </w:rPr>
            </w:pPr>
          </w:p>
        </w:tc>
      </w:tr>
      <w:tr w14:paraId="737F4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DE322">
            <w:pPr>
              <w:keepNext w:val="0"/>
              <w:keepLines w:val="0"/>
              <w:widowControl/>
              <w:suppressLineNumbers w:val="0"/>
              <w:spacing w:line="240" w:lineRule="auto"/>
              <w:ind w:left="0" w:leftChars="0" w:firstLine="0" w:firstLineChars="0"/>
              <w:jc w:val="center"/>
              <w:textAlignment w:val="center"/>
              <w:rPr>
                <w:rFonts w:hint="eastAsia" w:ascii="Times New Roman" w:hAnsi="Times New Roman" w:cs="Times New Roman"/>
                <w:color w:val="auto"/>
                <w:sz w:val="24"/>
                <w:szCs w:val="24"/>
                <w:highlight w:val="none"/>
                <w:lang w:val="en-US" w:eastAsia="zh-CN"/>
              </w:rPr>
            </w:pP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F9E54">
            <w:pPr>
              <w:keepNext w:val="0"/>
              <w:keepLines w:val="0"/>
              <w:widowControl/>
              <w:suppressLineNumbers w:val="0"/>
              <w:spacing w:line="240" w:lineRule="auto"/>
              <w:ind w:left="0" w:leftChars="0" w:firstLine="0" w:firstLineChars="0"/>
              <w:jc w:val="center"/>
              <w:textAlignment w:val="center"/>
              <w:rPr>
                <w:rFonts w:hint="eastAsia" w:ascii="Times New Roman" w:hAnsi="Times New Roman" w:cs="Times New Roman"/>
                <w:color w:val="auto"/>
                <w:sz w:val="24"/>
                <w:szCs w:val="24"/>
                <w:highlight w:val="none"/>
                <w:lang w:val="en-US" w:eastAsia="zh-CN"/>
              </w:rPr>
            </w:pPr>
          </w:p>
        </w:tc>
        <w:tc>
          <w:tcPr>
            <w:tcW w:w="4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AD2E8">
            <w:pPr>
              <w:keepNext w:val="0"/>
              <w:keepLines w:val="0"/>
              <w:widowControl/>
              <w:suppressLineNumbers w:val="0"/>
              <w:spacing w:line="240" w:lineRule="auto"/>
              <w:ind w:left="0" w:leftChars="0" w:firstLine="0" w:firstLineChars="0"/>
              <w:jc w:val="center"/>
              <w:textAlignment w:val="center"/>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项目监管</w:t>
            </w: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74C5D">
            <w:pPr>
              <w:keepNext w:val="0"/>
              <w:keepLines w:val="0"/>
              <w:widowControl/>
              <w:suppressLineNumbers w:val="0"/>
              <w:spacing w:line="240" w:lineRule="auto"/>
              <w:ind w:left="0" w:leftChars="0" w:firstLine="0" w:firstLineChars="0"/>
              <w:jc w:val="center"/>
              <w:textAlignment w:val="center"/>
              <w:rPr>
                <w:rFonts w:hint="eastAsia" w:ascii="Times New Roman" w:hAnsi="Times New Roman" w:cs="Times New Roman"/>
                <w:color w:val="auto"/>
                <w:sz w:val="24"/>
                <w:szCs w:val="24"/>
                <w:highlight w:val="none"/>
                <w:lang w:val="en-US" w:eastAsia="zh-CN"/>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B5F9B">
            <w:pPr>
              <w:keepNext w:val="0"/>
              <w:keepLines w:val="0"/>
              <w:widowControl/>
              <w:suppressLineNumbers w:val="0"/>
              <w:spacing w:line="240" w:lineRule="auto"/>
              <w:ind w:left="0" w:leftChars="0" w:firstLine="0" w:firstLineChars="0"/>
              <w:jc w:val="center"/>
              <w:textAlignment w:val="center"/>
              <w:rPr>
                <w:rFonts w:hint="eastAsia" w:ascii="Times New Roman" w:hAnsi="Times New Roman" w:cs="Times New Roman"/>
                <w:color w:val="auto"/>
                <w:sz w:val="24"/>
                <w:szCs w:val="24"/>
                <w:highlight w:val="none"/>
                <w:lang w:val="en-US" w:eastAsia="zh-CN"/>
              </w:rPr>
            </w:pPr>
          </w:p>
        </w:tc>
      </w:tr>
      <w:tr w14:paraId="13840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4B263">
            <w:pPr>
              <w:keepNext w:val="0"/>
              <w:keepLines w:val="0"/>
              <w:widowControl/>
              <w:suppressLineNumbers w:val="0"/>
              <w:spacing w:line="240" w:lineRule="auto"/>
              <w:ind w:left="0" w:leftChars="0" w:firstLine="0" w:firstLineChars="0"/>
              <w:jc w:val="center"/>
              <w:textAlignment w:val="center"/>
              <w:rPr>
                <w:rFonts w:hint="eastAsia" w:ascii="Times New Roman" w:hAnsi="Times New Roman" w:cs="Times New Roman"/>
                <w:color w:val="auto"/>
                <w:sz w:val="24"/>
                <w:szCs w:val="24"/>
                <w:highlight w:val="none"/>
                <w:lang w:val="en-US" w:eastAsia="zh-CN"/>
              </w:rPr>
            </w:pPr>
          </w:p>
        </w:tc>
        <w:tc>
          <w:tcPr>
            <w:tcW w:w="13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11229F">
            <w:pPr>
              <w:keepNext w:val="0"/>
              <w:keepLines w:val="0"/>
              <w:widowControl/>
              <w:suppressLineNumbers w:val="0"/>
              <w:spacing w:line="240" w:lineRule="auto"/>
              <w:ind w:left="0" w:leftChars="0" w:firstLine="0" w:firstLineChars="0"/>
              <w:jc w:val="center"/>
              <w:textAlignment w:val="center"/>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资产管理</w:t>
            </w:r>
          </w:p>
        </w:tc>
        <w:tc>
          <w:tcPr>
            <w:tcW w:w="4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F7CFF">
            <w:pPr>
              <w:keepNext w:val="0"/>
              <w:keepLines w:val="0"/>
              <w:widowControl/>
              <w:suppressLineNumbers w:val="0"/>
              <w:spacing w:line="240" w:lineRule="auto"/>
              <w:ind w:left="0" w:leftChars="0" w:firstLine="0" w:firstLineChars="0"/>
              <w:jc w:val="center"/>
              <w:textAlignment w:val="center"/>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资产配置合规性</w:t>
            </w:r>
          </w:p>
        </w:tc>
        <w:tc>
          <w:tcPr>
            <w:tcW w:w="11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953E41">
            <w:pPr>
              <w:keepNext w:val="0"/>
              <w:keepLines w:val="0"/>
              <w:widowControl/>
              <w:suppressLineNumbers w:val="0"/>
              <w:spacing w:line="240" w:lineRule="auto"/>
              <w:ind w:left="0" w:leftChars="0" w:firstLine="0" w:firstLineChars="0"/>
              <w:jc w:val="center"/>
              <w:textAlignment w:val="center"/>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5</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3C1142">
            <w:pPr>
              <w:keepNext w:val="0"/>
              <w:keepLines w:val="0"/>
              <w:widowControl/>
              <w:suppressLineNumbers w:val="0"/>
              <w:spacing w:line="240" w:lineRule="auto"/>
              <w:ind w:left="0" w:leftChars="0" w:firstLine="0" w:firstLineChars="0"/>
              <w:jc w:val="center"/>
              <w:textAlignment w:val="center"/>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71.43%</w:t>
            </w:r>
          </w:p>
        </w:tc>
      </w:tr>
      <w:tr w14:paraId="5EABE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D3E6D">
            <w:pPr>
              <w:keepNext w:val="0"/>
              <w:keepLines w:val="0"/>
              <w:widowControl/>
              <w:suppressLineNumbers w:val="0"/>
              <w:spacing w:line="240" w:lineRule="auto"/>
              <w:ind w:left="0" w:leftChars="0" w:firstLine="0" w:firstLineChars="0"/>
              <w:jc w:val="center"/>
              <w:textAlignment w:val="center"/>
              <w:rPr>
                <w:rFonts w:hint="eastAsia" w:ascii="Times New Roman" w:hAnsi="Times New Roman" w:cs="Times New Roman"/>
                <w:color w:val="auto"/>
                <w:sz w:val="24"/>
                <w:szCs w:val="24"/>
                <w:highlight w:val="none"/>
                <w:lang w:val="en-US" w:eastAsia="zh-CN"/>
              </w:rPr>
            </w:pP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6ADB0">
            <w:pPr>
              <w:keepNext w:val="0"/>
              <w:keepLines w:val="0"/>
              <w:widowControl/>
              <w:suppressLineNumbers w:val="0"/>
              <w:spacing w:line="240" w:lineRule="auto"/>
              <w:ind w:left="0" w:leftChars="0" w:firstLine="0" w:firstLineChars="0"/>
              <w:jc w:val="center"/>
              <w:textAlignment w:val="center"/>
              <w:rPr>
                <w:rFonts w:hint="eastAsia" w:ascii="Times New Roman" w:hAnsi="Times New Roman" w:cs="Times New Roman"/>
                <w:color w:val="auto"/>
                <w:sz w:val="24"/>
                <w:szCs w:val="24"/>
                <w:highlight w:val="none"/>
                <w:lang w:val="en-US" w:eastAsia="zh-CN"/>
              </w:rPr>
            </w:pPr>
          </w:p>
        </w:tc>
        <w:tc>
          <w:tcPr>
            <w:tcW w:w="4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97533">
            <w:pPr>
              <w:keepNext w:val="0"/>
              <w:keepLines w:val="0"/>
              <w:widowControl/>
              <w:suppressLineNumbers w:val="0"/>
              <w:spacing w:line="240" w:lineRule="auto"/>
              <w:ind w:left="0" w:leftChars="0" w:firstLine="0" w:firstLineChars="0"/>
              <w:jc w:val="center"/>
              <w:textAlignment w:val="center"/>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资产收益上缴的及时性</w:t>
            </w: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66054">
            <w:pPr>
              <w:keepNext w:val="0"/>
              <w:keepLines w:val="0"/>
              <w:widowControl/>
              <w:suppressLineNumbers w:val="0"/>
              <w:spacing w:line="240" w:lineRule="auto"/>
              <w:ind w:left="0" w:leftChars="0" w:firstLine="0" w:firstLineChars="0"/>
              <w:jc w:val="center"/>
              <w:textAlignment w:val="center"/>
              <w:rPr>
                <w:rFonts w:hint="eastAsia" w:ascii="Times New Roman" w:hAnsi="Times New Roman" w:cs="Times New Roman"/>
                <w:color w:val="auto"/>
                <w:sz w:val="24"/>
                <w:szCs w:val="24"/>
                <w:highlight w:val="none"/>
                <w:lang w:val="en-US" w:eastAsia="zh-CN"/>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2CFF6">
            <w:pPr>
              <w:keepNext w:val="0"/>
              <w:keepLines w:val="0"/>
              <w:widowControl/>
              <w:suppressLineNumbers w:val="0"/>
              <w:spacing w:line="240" w:lineRule="auto"/>
              <w:ind w:left="0" w:leftChars="0" w:firstLine="0" w:firstLineChars="0"/>
              <w:jc w:val="center"/>
              <w:textAlignment w:val="center"/>
              <w:rPr>
                <w:rFonts w:hint="eastAsia" w:ascii="Times New Roman" w:hAnsi="Times New Roman" w:cs="Times New Roman"/>
                <w:color w:val="auto"/>
                <w:sz w:val="24"/>
                <w:szCs w:val="24"/>
                <w:highlight w:val="none"/>
                <w:lang w:val="en-US" w:eastAsia="zh-CN"/>
              </w:rPr>
            </w:pPr>
          </w:p>
        </w:tc>
      </w:tr>
      <w:tr w14:paraId="6CA1A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9D80D">
            <w:pPr>
              <w:keepNext w:val="0"/>
              <w:keepLines w:val="0"/>
              <w:widowControl/>
              <w:suppressLineNumbers w:val="0"/>
              <w:spacing w:line="240" w:lineRule="auto"/>
              <w:ind w:left="0" w:leftChars="0" w:firstLine="0" w:firstLineChars="0"/>
              <w:jc w:val="center"/>
              <w:textAlignment w:val="center"/>
              <w:rPr>
                <w:rFonts w:hint="eastAsia" w:ascii="Times New Roman" w:hAnsi="Times New Roman" w:cs="Times New Roman"/>
                <w:color w:val="auto"/>
                <w:sz w:val="24"/>
                <w:szCs w:val="24"/>
                <w:highlight w:val="none"/>
                <w:lang w:val="en-US" w:eastAsia="zh-CN"/>
              </w:rPr>
            </w:pP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1B14D">
            <w:pPr>
              <w:keepNext w:val="0"/>
              <w:keepLines w:val="0"/>
              <w:widowControl/>
              <w:suppressLineNumbers w:val="0"/>
              <w:spacing w:line="240" w:lineRule="auto"/>
              <w:ind w:left="0" w:leftChars="0" w:firstLine="0" w:firstLineChars="0"/>
              <w:jc w:val="center"/>
              <w:textAlignment w:val="center"/>
              <w:rPr>
                <w:rFonts w:hint="eastAsia" w:ascii="Times New Roman" w:hAnsi="Times New Roman" w:cs="Times New Roman"/>
                <w:color w:val="auto"/>
                <w:sz w:val="24"/>
                <w:szCs w:val="24"/>
                <w:highlight w:val="none"/>
                <w:lang w:val="en-US" w:eastAsia="zh-CN"/>
              </w:rPr>
            </w:pPr>
          </w:p>
        </w:tc>
        <w:tc>
          <w:tcPr>
            <w:tcW w:w="4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25962">
            <w:pPr>
              <w:keepNext w:val="0"/>
              <w:keepLines w:val="0"/>
              <w:widowControl/>
              <w:suppressLineNumbers w:val="0"/>
              <w:spacing w:line="240" w:lineRule="auto"/>
              <w:ind w:left="0" w:leftChars="0" w:firstLine="0" w:firstLineChars="0"/>
              <w:jc w:val="center"/>
              <w:textAlignment w:val="center"/>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资产盘点情况</w:t>
            </w: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974DF">
            <w:pPr>
              <w:keepNext w:val="0"/>
              <w:keepLines w:val="0"/>
              <w:widowControl/>
              <w:suppressLineNumbers w:val="0"/>
              <w:spacing w:line="240" w:lineRule="auto"/>
              <w:ind w:left="0" w:leftChars="0" w:firstLine="0" w:firstLineChars="0"/>
              <w:jc w:val="center"/>
              <w:textAlignment w:val="center"/>
              <w:rPr>
                <w:rFonts w:hint="eastAsia" w:ascii="Times New Roman" w:hAnsi="Times New Roman" w:cs="Times New Roman"/>
                <w:color w:val="auto"/>
                <w:sz w:val="24"/>
                <w:szCs w:val="24"/>
                <w:highlight w:val="none"/>
                <w:lang w:val="en-US" w:eastAsia="zh-CN"/>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DCF7B">
            <w:pPr>
              <w:keepNext w:val="0"/>
              <w:keepLines w:val="0"/>
              <w:widowControl/>
              <w:suppressLineNumbers w:val="0"/>
              <w:spacing w:line="240" w:lineRule="auto"/>
              <w:ind w:left="0" w:leftChars="0" w:firstLine="0" w:firstLineChars="0"/>
              <w:jc w:val="center"/>
              <w:textAlignment w:val="center"/>
              <w:rPr>
                <w:rFonts w:hint="eastAsia" w:ascii="Times New Roman" w:hAnsi="Times New Roman" w:cs="Times New Roman"/>
                <w:color w:val="auto"/>
                <w:sz w:val="24"/>
                <w:szCs w:val="24"/>
                <w:highlight w:val="none"/>
                <w:lang w:val="en-US" w:eastAsia="zh-CN"/>
              </w:rPr>
            </w:pPr>
          </w:p>
        </w:tc>
      </w:tr>
      <w:tr w14:paraId="563AD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B9F39">
            <w:pPr>
              <w:keepNext w:val="0"/>
              <w:keepLines w:val="0"/>
              <w:widowControl/>
              <w:suppressLineNumbers w:val="0"/>
              <w:spacing w:line="240" w:lineRule="auto"/>
              <w:ind w:left="0" w:leftChars="0" w:firstLine="0" w:firstLineChars="0"/>
              <w:jc w:val="center"/>
              <w:textAlignment w:val="center"/>
              <w:rPr>
                <w:rFonts w:hint="eastAsia" w:ascii="Times New Roman" w:hAnsi="Times New Roman" w:cs="Times New Roman"/>
                <w:color w:val="auto"/>
                <w:sz w:val="24"/>
                <w:szCs w:val="24"/>
                <w:highlight w:val="none"/>
                <w:lang w:val="en-US" w:eastAsia="zh-CN"/>
              </w:rPr>
            </w:pP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9AF69">
            <w:pPr>
              <w:keepNext w:val="0"/>
              <w:keepLines w:val="0"/>
              <w:widowControl/>
              <w:suppressLineNumbers w:val="0"/>
              <w:spacing w:line="240" w:lineRule="auto"/>
              <w:ind w:left="0" w:leftChars="0" w:firstLine="0" w:firstLineChars="0"/>
              <w:jc w:val="center"/>
              <w:textAlignment w:val="center"/>
              <w:rPr>
                <w:rFonts w:hint="eastAsia" w:ascii="Times New Roman" w:hAnsi="Times New Roman" w:cs="Times New Roman"/>
                <w:color w:val="auto"/>
                <w:sz w:val="24"/>
                <w:szCs w:val="24"/>
                <w:highlight w:val="none"/>
                <w:lang w:val="en-US" w:eastAsia="zh-CN"/>
              </w:rPr>
            </w:pPr>
          </w:p>
        </w:tc>
        <w:tc>
          <w:tcPr>
            <w:tcW w:w="4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ABA97">
            <w:pPr>
              <w:keepNext w:val="0"/>
              <w:keepLines w:val="0"/>
              <w:widowControl/>
              <w:suppressLineNumbers w:val="0"/>
              <w:spacing w:line="240" w:lineRule="auto"/>
              <w:ind w:left="0" w:leftChars="0" w:firstLine="0" w:firstLineChars="0"/>
              <w:jc w:val="center"/>
              <w:textAlignment w:val="center"/>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数据质量</w:t>
            </w: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07B4B">
            <w:pPr>
              <w:keepNext w:val="0"/>
              <w:keepLines w:val="0"/>
              <w:widowControl/>
              <w:suppressLineNumbers w:val="0"/>
              <w:spacing w:line="240" w:lineRule="auto"/>
              <w:ind w:left="0" w:leftChars="0" w:firstLine="0" w:firstLineChars="0"/>
              <w:jc w:val="center"/>
              <w:textAlignment w:val="center"/>
              <w:rPr>
                <w:rFonts w:hint="eastAsia" w:ascii="Times New Roman" w:hAnsi="Times New Roman" w:cs="Times New Roman"/>
                <w:color w:val="auto"/>
                <w:sz w:val="24"/>
                <w:szCs w:val="24"/>
                <w:highlight w:val="none"/>
                <w:lang w:val="en-US" w:eastAsia="zh-CN"/>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9FE57">
            <w:pPr>
              <w:keepNext w:val="0"/>
              <w:keepLines w:val="0"/>
              <w:widowControl/>
              <w:suppressLineNumbers w:val="0"/>
              <w:spacing w:line="240" w:lineRule="auto"/>
              <w:ind w:left="0" w:leftChars="0" w:firstLine="0" w:firstLineChars="0"/>
              <w:jc w:val="center"/>
              <w:textAlignment w:val="center"/>
              <w:rPr>
                <w:rFonts w:hint="eastAsia" w:ascii="Times New Roman" w:hAnsi="Times New Roman" w:cs="Times New Roman"/>
                <w:color w:val="auto"/>
                <w:sz w:val="24"/>
                <w:szCs w:val="24"/>
                <w:highlight w:val="none"/>
                <w:lang w:val="en-US" w:eastAsia="zh-CN"/>
              </w:rPr>
            </w:pPr>
          </w:p>
        </w:tc>
      </w:tr>
      <w:tr w14:paraId="57C25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0C0C6">
            <w:pPr>
              <w:keepNext w:val="0"/>
              <w:keepLines w:val="0"/>
              <w:widowControl/>
              <w:suppressLineNumbers w:val="0"/>
              <w:spacing w:line="240" w:lineRule="auto"/>
              <w:ind w:left="0" w:leftChars="0" w:firstLine="0" w:firstLineChars="0"/>
              <w:jc w:val="center"/>
              <w:textAlignment w:val="center"/>
              <w:rPr>
                <w:rFonts w:hint="eastAsia" w:ascii="Times New Roman" w:hAnsi="Times New Roman" w:cs="Times New Roman"/>
                <w:color w:val="auto"/>
                <w:sz w:val="24"/>
                <w:szCs w:val="24"/>
                <w:highlight w:val="none"/>
                <w:lang w:val="en-US" w:eastAsia="zh-CN"/>
              </w:rPr>
            </w:pP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82CC8">
            <w:pPr>
              <w:keepNext w:val="0"/>
              <w:keepLines w:val="0"/>
              <w:widowControl/>
              <w:suppressLineNumbers w:val="0"/>
              <w:spacing w:line="240" w:lineRule="auto"/>
              <w:ind w:left="0" w:leftChars="0" w:firstLine="0" w:firstLineChars="0"/>
              <w:jc w:val="center"/>
              <w:textAlignment w:val="center"/>
              <w:rPr>
                <w:rFonts w:hint="eastAsia" w:ascii="Times New Roman" w:hAnsi="Times New Roman" w:cs="Times New Roman"/>
                <w:color w:val="auto"/>
                <w:sz w:val="24"/>
                <w:szCs w:val="24"/>
                <w:highlight w:val="none"/>
                <w:lang w:val="en-US" w:eastAsia="zh-CN"/>
              </w:rPr>
            </w:pPr>
          </w:p>
        </w:tc>
        <w:tc>
          <w:tcPr>
            <w:tcW w:w="4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5842C">
            <w:pPr>
              <w:keepNext w:val="0"/>
              <w:keepLines w:val="0"/>
              <w:widowControl/>
              <w:suppressLineNumbers w:val="0"/>
              <w:spacing w:line="240" w:lineRule="auto"/>
              <w:ind w:left="0" w:leftChars="0" w:firstLine="0" w:firstLineChars="0"/>
              <w:jc w:val="center"/>
              <w:textAlignment w:val="center"/>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资产管理合规性</w:t>
            </w: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618D1">
            <w:pPr>
              <w:keepNext w:val="0"/>
              <w:keepLines w:val="0"/>
              <w:widowControl/>
              <w:suppressLineNumbers w:val="0"/>
              <w:spacing w:line="240" w:lineRule="auto"/>
              <w:ind w:left="0" w:leftChars="0" w:firstLine="0" w:firstLineChars="0"/>
              <w:jc w:val="center"/>
              <w:textAlignment w:val="center"/>
              <w:rPr>
                <w:rFonts w:hint="eastAsia" w:ascii="Times New Roman" w:hAnsi="Times New Roman" w:cs="Times New Roman"/>
                <w:color w:val="auto"/>
                <w:sz w:val="24"/>
                <w:szCs w:val="24"/>
                <w:highlight w:val="none"/>
                <w:lang w:val="en-US" w:eastAsia="zh-CN"/>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3A260">
            <w:pPr>
              <w:keepNext w:val="0"/>
              <w:keepLines w:val="0"/>
              <w:widowControl/>
              <w:suppressLineNumbers w:val="0"/>
              <w:spacing w:line="240" w:lineRule="auto"/>
              <w:ind w:left="0" w:leftChars="0" w:firstLine="0" w:firstLineChars="0"/>
              <w:jc w:val="center"/>
              <w:textAlignment w:val="center"/>
              <w:rPr>
                <w:rFonts w:hint="eastAsia" w:ascii="Times New Roman" w:hAnsi="Times New Roman" w:cs="Times New Roman"/>
                <w:color w:val="auto"/>
                <w:sz w:val="24"/>
                <w:szCs w:val="24"/>
                <w:highlight w:val="none"/>
                <w:lang w:val="en-US" w:eastAsia="zh-CN"/>
              </w:rPr>
            </w:pPr>
          </w:p>
        </w:tc>
      </w:tr>
      <w:tr w14:paraId="2E280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446AD7">
            <w:pPr>
              <w:keepNext w:val="0"/>
              <w:keepLines w:val="0"/>
              <w:widowControl/>
              <w:suppressLineNumbers w:val="0"/>
              <w:spacing w:line="240" w:lineRule="auto"/>
              <w:ind w:left="0" w:leftChars="0" w:firstLine="0" w:firstLineChars="0"/>
              <w:jc w:val="center"/>
              <w:textAlignment w:val="center"/>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预算使用效益</w:t>
            </w:r>
          </w:p>
        </w:tc>
        <w:tc>
          <w:tcPr>
            <w:tcW w:w="13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D5BA74">
            <w:pPr>
              <w:keepNext w:val="0"/>
              <w:keepLines w:val="0"/>
              <w:widowControl/>
              <w:suppressLineNumbers w:val="0"/>
              <w:spacing w:line="240" w:lineRule="auto"/>
              <w:ind w:left="0" w:leftChars="0" w:firstLine="0" w:firstLineChars="0"/>
              <w:jc w:val="center"/>
              <w:textAlignment w:val="center"/>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经济性</w:t>
            </w:r>
          </w:p>
        </w:tc>
        <w:tc>
          <w:tcPr>
            <w:tcW w:w="4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6A639">
            <w:pPr>
              <w:keepNext w:val="0"/>
              <w:keepLines w:val="0"/>
              <w:widowControl/>
              <w:suppressLineNumbers w:val="0"/>
              <w:spacing w:line="240" w:lineRule="auto"/>
              <w:ind w:left="0" w:leftChars="0" w:firstLine="0" w:firstLineChars="0"/>
              <w:jc w:val="center"/>
              <w:textAlignment w:val="center"/>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经济成本控制情况</w:t>
            </w:r>
          </w:p>
        </w:tc>
        <w:tc>
          <w:tcPr>
            <w:tcW w:w="11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546105">
            <w:pPr>
              <w:keepNext w:val="0"/>
              <w:keepLines w:val="0"/>
              <w:widowControl/>
              <w:suppressLineNumbers w:val="0"/>
              <w:spacing w:line="240" w:lineRule="auto"/>
              <w:ind w:left="0" w:leftChars="0" w:firstLine="0" w:firstLineChars="0"/>
              <w:jc w:val="center"/>
              <w:textAlignment w:val="center"/>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6</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7495F8">
            <w:pPr>
              <w:keepNext w:val="0"/>
              <w:keepLines w:val="0"/>
              <w:widowControl/>
              <w:suppressLineNumbers w:val="0"/>
              <w:spacing w:line="240" w:lineRule="auto"/>
              <w:ind w:left="0" w:leftChars="0" w:firstLine="0" w:firstLineChars="0"/>
              <w:jc w:val="center"/>
              <w:textAlignment w:val="center"/>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85.71%</w:t>
            </w:r>
          </w:p>
        </w:tc>
      </w:tr>
      <w:tr w14:paraId="12DF8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19E5C">
            <w:pPr>
              <w:keepNext w:val="0"/>
              <w:keepLines w:val="0"/>
              <w:widowControl/>
              <w:suppressLineNumbers w:val="0"/>
              <w:spacing w:line="240" w:lineRule="auto"/>
              <w:ind w:left="0" w:leftChars="0" w:firstLine="0" w:firstLineChars="0"/>
              <w:jc w:val="center"/>
              <w:textAlignment w:val="center"/>
              <w:rPr>
                <w:rFonts w:hint="eastAsia" w:ascii="Times New Roman" w:hAnsi="Times New Roman" w:cs="Times New Roman"/>
                <w:color w:val="auto"/>
                <w:sz w:val="24"/>
                <w:szCs w:val="24"/>
                <w:highlight w:val="none"/>
                <w:lang w:val="en-US" w:eastAsia="zh-CN"/>
              </w:rPr>
            </w:pP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DAC88">
            <w:pPr>
              <w:keepNext w:val="0"/>
              <w:keepLines w:val="0"/>
              <w:widowControl/>
              <w:suppressLineNumbers w:val="0"/>
              <w:spacing w:line="240" w:lineRule="auto"/>
              <w:ind w:left="0" w:leftChars="0" w:firstLine="0" w:firstLineChars="0"/>
              <w:jc w:val="center"/>
              <w:textAlignment w:val="center"/>
              <w:rPr>
                <w:rFonts w:hint="eastAsia" w:ascii="Times New Roman" w:hAnsi="Times New Roman" w:cs="Times New Roman"/>
                <w:color w:val="auto"/>
                <w:sz w:val="24"/>
                <w:szCs w:val="24"/>
                <w:highlight w:val="none"/>
                <w:lang w:val="en-US" w:eastAsia="zh-CN"/>
              </w:rPr>
            </w:pPr>
          </w:p>
        </w:tc>
        <w:tc>
          <w:tcPr>
            <w:tcW w:w="4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C0DED">
            <w:pPr>
              <w:keepNext w:val="0"/>
              <w:keepLines w:val="0"/>
              <w:widowControl/>
              <w:suppressLineNumbers w:val="0"/>
              <w:spacing w:line="240" w:lineRule="auto"/>
              <w:ind w:left="0" w:leftChars="0" w:firstLine="0" w:firstLineChars="0"/>
              <w:jc w:val="center"/>
              <w:textAlignment w:val="center"/>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公用经费控制率</w:t>
            </w: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67810">
            <w:pPr>
              <w:keepNext w:val="0"/>
              <w:keepLines w:val="0"/>
              <w:widowControl/>
              <w:suppressLineNumbers w:val="0"/>
              <w:spacing w:line="240" w:lineRule="auto"/>
              <w:ind w:left="0" w:leftChars="0" w:firstLine="0" w:firstLineChars="0"/>
              <w:jc w:val="center"/>
              <w:textAlignment w:val="center"/>
              <w:rPr>
                <w:rFonts w:hint="eastAsia" w:ascii="Times New Roman" w:hAnsi="Times New Roman" w:cs="Times New Roman"/>
                <w:color w:val="auto"/>
                <w:sz w:val="24"/>
                <w:szCs w:val="24"/>
                <w:highlight w:val="none"/>
                <w:lang w:val="en-US" w:eastAsia="zh-CN"/>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1D2C6">
            <w:pPr>
              <w:keepNext w:val="0"/>
              <w:keepLines w:val="0"/>
              <w:widowControl/>
              <w:suppressLineNumbers w:val="0"/>
              <w:spacing w:line="240" w:lineRule="auto"/>
              <w:ind w:left="0" w:leftChars="0" w:firstLine="0" w:firstLineChars="0"/>
              <w:jc w:val="center"/>
              <w:textAlignment w:val="center"/>
              <w:rPr>
                <w:rFonts w:hint="eastAsia" w:ascii="Times New Roman" w:hAnsi="Times New Roman" w:cs="Times New Roman"/>
                <w:color w:val="auto"/>
                <w:sz w:val="24"/>
                <w:szCs w:val="24"/>
                <w:highlight w:val="none"/>
                <w:lang w:val="en-US" w:eastAsia="zh-CN"/>
              </w:rPr>
            </w:pPr>
          </w:p>
        </w:tc>
      </w:tr>
      <w:tr w14:paraId="7506D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AF3A3">
            <w:pPr>
              <w:keepNext w:val="0"/>
              <w:keepLines w:val="0"/>
              <w:widowControl/>
              <w:suppressLineNumbers w:val="0"/>
              <w:spacing w:line="240" w:lineRule="auto"/>
              <w:ind w:left="0" w:leftChars="0" w:firstLine="0" w:firstLineChars="0"/>
              <w:jc w:val="center"/>
              <w:textAlignment w:val="center"/>
              <w:rPr>
                <w:rFonts w:hint="eastAsia" w:ascii="Times New Roman" w:hAnsi="Times New Roman" w:cs="Times New Roman"/>
                <w:color w:val="auto"/>
                <w:sz w:val="24"/>
                <w:szCs w:val="24"/>
                <w:highlight w:val="none"/>
                <w:lang w:val="en-US" w:eastAsia="zh-CN"/>
              </w:rPr>
            </w:pPr>
          </w:p>
        </w:tc>
        <w:tc>
          <w:tcPr>
            <w:tcW w:w="13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959DEF">
            <w:pPr>
              <w:keepNext w:val="0"/>
              <w:keepLines w:val="0"/>
              <w:widowControl/>
              <w:suppressLineNumbers w:val="0"/>
              <w:spacing w:line="240" w:lineRule="auto"/>
              <w:ind w:left="0" w:leftChars="0" w:firstLine="0" w:firstLineChars="0"/>
              <w:jc w:val="center"/>
              <w:textAlignment w:val="center"/>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效率性</w:t>
            </w:r>
          </w:p>
        </w:tc>
        <w:tc>
          <w:tcPr>
            <w:tcW w:w="4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BF7F9">
            <w:pPr>
              <w:keepNext w:val="0"/>
              <w:keepLines w:val="0"/>
              <w:widowControl/>
              <w:suppressLineNumbers w:val="0"/>
              <w:spacing w:line="240" w:lineRule="auto"/>
              <w:ind w:left="0" w:leftChars="0" w:firstLine="0" w:firstLineChars="0"/>
              <w:jc w:val="center"/>
              <w:textAlignment w:val="center"/>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重点工作完成率</w:t>
            </w:r>
          </w:p>
        </w:tc>
        <w:tc>
          <w:tcPr>
            <w:tcW w:w="11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C6F21C">
            <w:pPr>
              <w:keepNext w:val="0"/>
              <w:keepLines w:val="0"/>
              <w:widowControl/>
              <w:suppressLineNumbers w:val="0"/>
              <w:spacing w:line="240" w:lineRule="auto"/>
              <w:ind w:left="0" w:leftChars="0" w:firstLine="0" w:firstLineChars="0"/>
              <w:jc w:val="center"/>
              <w:textAlignment w:val="center"/>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4</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BF2EE3">
            <w:pPr>
              <w:keepNext w:val="0"/>
              <w:keepLines w:val="0"/>
              <w:widowControl/>
              <w:suppressLineNumbers w:val="0"/>
              <w:spacing w:line="240" w:lineRule="auto"/>
              <w:ind w:left="0" w:leftChars="0" w:firstLine="0" w:firstLineChars="0"/>
              <w:jc w:val="center"/>
              <w:textAlignment w:val="center"/>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50%</w:t>
            </w:r>
          </w:p>
        </w:tc>
      </w:tr>
      <w:tr w14:paraId="6EC46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C5B23">
            <w:pPr>
              <w:keepNext w:val="0"/>
              <w:keepLines w:val="0"/>
              <w:widowControl/>
              <w:suppressLineNumbers w:val="0"/>
              <w:spacing w:line="240" w:lineRule="auto"/>
              <w:ind w:left="0" w:leftChars="0" w:firstLine="0" w:firstLineChars="0"/>
              <w:jc w:val="center"/>
              <w:textAlignment w:val="center"/>
              <w:rPr>
                <w:rFonts w:hint="eastAsia" w:ascii="Times New Roman" w:hAnsi="Times New Roman" w:cs="Times New Roman"/>
                <w:color w:val="auto"/>
                <w:sz w:val="24"/>
                <w:szCs w:val="24"/>
                <w:highlight w:val="none"/>
                <w:lang w:val="en-US" w:eastAsia="zh-CN"/>
              </w:rPr>
            </w:pP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FA5E2">
            <w:pPr>
              <w:keepNext w:val="0"/>
              <w:keepLines w:val="0"/>
              <w:widowControl/>
              <w:suppressLineNumbers w:val="0"/>
              <w:spacing w:line="240" w:lineRule="auto"/>
              <w:ind w:left="0" w:leftChars="0" w:firstLine="0" w:firstLineChars="0"/>
              <w:jc w:val="center"/>
              <w:textAlignment w:val="center"/>
              <w:rPr>
                <w:rFonts w:hint="eastAsia" w:ascii="Times New Roman" w:hAnsi="Times New Roman" w:cs="Times New Roman"/>
                <w:color w:val="auto"/>
                <w:sz w:val="24"/>
                <w:szCs w:val="24"/>
                <w:highlight w:val="none"/>
                <w:lang w:val="en-US" w:eastAsia="zh-CN"/>
              </w:rPr>
            </w:pPr>
          </w:p>
        </w:tc>
        <w:tc>
          <w:tcPr>
            <w:tcW w:w="4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BE872">
            <w:pPr>
              <w:keepNext w:val="0"/>
              <w:keepLines w:val="0"/>
              <w:widowControl/>
              <w:suppressLineNumbers w:val="0"/>
              <w:spacing w:line="240" w:lineRule="auto"/>
              <w:ind w:left="0" w:leftChars="0" w:firstLine="0" w:firstLineChars="0"/>
              <w:jc w:val="center"/>
              <w:textAlignment w:val="center"/>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绩效目标完成率</w:t>
            </w: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6A0CE">
            <w:pPr>
              <w:keepNext w:val="0"/>
              <w:keepLines w:val="0"/>
              <w:widowControl/>
              <w:suppressLineNumbers w:val="0"/>
              <w:spacing w:line="240" w:lineRule="auto"/>
              <w:ind w:left="0" w:leftChars="0" w:firstLine="0" w:firstLineChars="0"/>
              <w:jc w:val="center"/>
              <w:textAlignment w:val="center"/>
              <w:rPr>
                <w:rFonts w:hint="eastAsia" w:ascii="Times New Roman" w:hAnsi="Times New Roman" w:cs="Times New Roman"/>
                <w:color w:val="auto"/>
                <w:sz w:val="24"/>
                <w:szCs w:val="24"/>
                <w:highlight w:val="none"/>
                <w:lang w:val="en-US" w:eastAsia="zh-CN"/>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37711">
            <w:pPr>
              <w:keepNext w:val="0"/>
              <w:keepLines w:val="0"/>
              <w:widowControl/>
              <w:suppressLineNumbers w:val="0"/>
              <w:spacing w:line="240" w:lineRule="auto"/>
              <w:ind w:left="0" w:leftChars="0" w:firstLine="0" w:firstLineChars="0"/>
              <w:jc w:val="center"/>
              <w:textAlignment w:val="center"/>
              <w:rPr>
                <w:rFonts w:hint="eastAsia" w:ascii="Times New Roman" w:hAnsi="Times New Roman" w:cs="Times New Roman"/>
                <w:color w:val="auto"/>
                <w:sz w:val="24"/>
                <w:szCs w:val="24"/>
                <w:highlight w:val="none"/>
                <w:lang w:val="en-US" w:eastAsia="zh-CN"/>
              </w:rPr>
            </w:pPr>
          </w:p>
        </w:tc>
      </w:tr>
      <w:tr w14:paraId="76714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80A0A">
            <w:pPr>
              <w:keepNext w:val="0"/>
              <w:keepLines w:val="0"/>
              <w:widowControl/>
              <w:suppressLineNumbers w:val="0"/>
              <w:spacing w:line="240" w:lineRule="auto"/>
              <w:ind w:left="0" w:leftChars="0" w:firstLine="0" w:firstLineChars="0"/>
              <w:jc w:val="center"/>
              <w:textAlignment w:val="center"/>
              <w:rPr>
                <w:rFonts w:hint="eastAsia" w:ascii="Times New Roman" w:hAnsi="Times New Roman" w:cs="Times New Roman"/>
                <w:color w:val="auto"/>
                <w:sz w:val="24"/>
                <w:szCs w:val="24"/>
                <w:highlight w:val="none"/>
                <w:lang w:val="en-US" w:eastAsia="zh-CN"/>
              </w:rPr>
            </w:pP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43646">
            <w:pPr>
              <w:keepNext w:val="0"/>
              <w:keepLines w:val="0"/>
              <w:widowControl/>
              <w:suppressLineNumbers w:val="0"/>
              <w:spacing w:line="240" w:lineRule="auto"/>
              <w:ind w:left="0" w:leftChars="0" w:firstLine="0" w:firstLineChars="0"/>
              <w:jc w:val="center"/>
              <w:textAlignment w:val="center"/>
              <w:rPr>
                <w:rFonts w:hint="eastAsia" w:ascii="Times New Roman" w:hAnsi="Times New Roman" w:cs="Times New Roman"/>
                <w:color w:val="auto"/>
                <w:sz w:val="24"/>
                <w:szCs w:val="24"/>
                <w:highlight w:val="none"/>
                <w:lang w:val="en-US" w:eastAsia="zh-CN"/>
              </w:rPr>
            </w:pPr>
          </w:p>
        </w:tc>
        <w:tc>
          <w:tcPr>
            <w:tcW w:w="4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DABBF">
            <w:pPr>
              <w:keepNext w:val="0"/>
              <w:keepLines w:val="0"/>
              <w:widowControl/>
              <w:suppressLineNumbers w:val="0"/>
              <w:spacing w:line="240" w:lineRule="auto"/>
              <w:ind w:left="0" w:leftChars="0" w:firstLine="0" w:firstLineChars="0"/>
              <w:jc w:val="center"/>
              <w:textAlignment w:val="center"/>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项目完成及时性</w:t>
            </w: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1AA03">
            <w:pPr>
              <w:keepNext w:val="0"/>
              <w:keepLines w:val="0"/>
              <w:widowControl/>
              <w:suppressLineNumbers w:val="0"/>
              <w:spacing w:line="240" w:lineRule="auto"/>
              <w:ind w:left="0" w:leftChars="0" w:firstLine="0" w:firstLineChars="0"/>
              <w:jc w:val="center"/>
              <w:textAlignment w:val="center"/>
              <w:rPr>
                <w:rFonts w:hint="eastAsia" w:ascii="Times New Roman" w:hAnsi="Times New Roman" w:cs="Times New Roman"/>
                <w:color w:val="auto"/>
                <w:sz w:val="24"/>
                <w:szCs w:val="24"/>
                <w:highlight w:val="none"/>
                <w:lang w:val="en-US" w:eastAsia="zh-CN"/>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EDC20">
            <w:pPr>
              <w:keepNext w:val="0"/>
              <w:keepLines w:val="0"/>
              <w:widowControl/>
              <w:suppressLineNumbers w:val="0"/>
              <w:spacing w:line="240" w:lineRule="auto"/>
              <w:ind w:left="0" w:leftChars="0" w:firstLine="0" w:firstLineChars="0"/>
              <w:jc w:val="center"/>
              <w:textAlignment w:val="center"/>
              <w:rPr>
                <w:rFonts w:hint="eastAsia" w:ascii="Times New Roman" w:hAnsi="Times New Roman" w:cs="Times New Roman"/>
                <w:color w:val="auto"/>
                <w:sz w:val="24"/>
                <w:szCs w:val="24"/>
                <w:highlight w:val="none"/>
                <w:lang w:val="en-US" w:eastAsia="zh-CN"/>
              </w:rPr>
            </w:pPr>
          </w:p>
        </w:tc>
      </w:tr>
      <w:tr w14:paraId="7BB36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9D24A">
            <w:pPr>
              <w:keepNext w:val="0"/>
              <w:keepLines w:val="0"/>
              <w:widowControl/>
              <w:suppressLineNumbers w:val="0"/>
              <w:spacing w:line="240" w:lineRule="auto"/>
              <w:ind w:left="0" w:leftChars="0" w:firstLine="0" w:firstLineChars="0"/>
              <w:jc w:val="center"/>
              <w:textAlignment w:val="center"/>
              <w:rPr>
                <w:rFonts w:hint="eastAsia" w:ascii="Times New Roman" w:hAnsi="Times New Roman" w:cs="Times New Roman"/>
                <w:color w:val="auto"/>
                <w:sz w:val="24"/>
                <w:szCs w:val="24"/>
                <w:highlight w:val="none"/>
                <w:lang w:val="en-US" w:eastAsia="zh-CN"/>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A8BBB">
            <w:pPr>
              <w:keepNext w:val="0"/>
              <w:keepLines w:val="0"/>
              <w:widowControl/>
              <w:suppressLineNumbers w:val="0"/>
              <w:spacing w:line="240" w:lineRule="auto"/>
              <w:ind w:left="0" w:leftChars="0" w:firstLine="0" w:firstLineChars="0"/>
              <w:jc w:val="center"/>
              <w:textAlignment w:val="center"/>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效果性</w:t>
            </w:r>
          </w:p>
        </w:tc>
        <w:tc>
          <w:tcPr>
            <w:tcW w:w="4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A07DA">
            <w:pPr>
              <w:keepNext w:val="0"/>
              <w:keepLines w:val="0"/>
              <w:widowControl/>
              <w:suppressLineNumbers w:val="0"/>
              <w:spacing w:line="240" w:lineRule="auto"/>
              <w:ind w:left="0" w:leftChars="0" w:firstLine="0" w:firstLineChars="0"/>
              <w:jc w:val="center"/>
              <w:textAlignment w:val="center"/>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社会经济环境效益</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C7FB9">
            <w:pPr>
              <w:keepNext w:val="0"/>
              <w:keepLines w:val="0"/>
              <w:widowControl/>
              <w:suppressLineNumbers w:val="0"/>
              <w:spacing w:line="240" w:lineRule="auto"/>
              <w:ind w:left="0" w:leftChars="0" w:firstLine="0" w:firstLineChars="0"/>
              <w:jc w:val="center"/>
              <w:textAlignment w:val="center"/>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7</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614E5">
            <w:pPr>
              <w:keepNext w:val="0"/>
              <w:keepLines w:val="0"/>
              <w:widowControl/>
              <w:suppressLineNumbers w:val="0"/>
              <w:spacing w:line="240" w:lineRule="auto"/>
              <w:ind w:left="0" w:leftChars="0" w:firstLine="0" w:firstLineChars="0"/>
              <w:jc w:val="center"/>
              <w:textAlignment w:val="center"/>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87.50%</w:t>
            </w:r>
          </w:p>
        </w:tc>
      </w:tr>
      <w:tr w14:paraId="71B17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8961B">
            <w:pPr>
              <w:keepNext w:val="0"/>
              <w:keepLines w:val="0"/>
              <w:widowControl/>
              <w:suppressLineNumbers w:val="0"/>
              <w:spacing w:line="240" w:lineRule="auto"/>
              <w:ind w:left="0" w:leftChars="0" w:firstLine="0" w:firstLineChars="0"/>
              <w:jc w:val="center"/>
              <w:textAlignment w:val="center"/>
              <w:rPr>
                <w:rFonts w:hint="eastAsia" w:ascii="Times New Roman" w:hAnsi="Times New Roman" w:cs="Times New Roman"/>
                <w:color w:val="auto"/>
                <w:sz w:val="24"/>
                <w:szCs w:val="24"/>
                <w:highlight w:val="none"/>
                <w:lang w:val="en-US" w:eastAsia="zh-CN"/>
              </w:rPr>
            </w:pPr>
          </w:p>
        </w:tc>
        <w:tc>
          <w:tcPr>
            <w:tcW w:w="13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401838">
            <w:pPr>
              <w:keepNext w:val="0"/>
              <w:keepLines w:val="0"/>
              <w:widowControl/>
              <w:suppressLineNumbers w:val="0"/>
              <w:spacing w:line="240" w:lineRule="auto"/>
              <w:ind w:left="0" w:leftChars="0" w:firstLine="0" w:firstLineChars="0"/>
              <w:jc w:val="center"/>
              <w:textAlignment w:val="center"/>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公平性</w:t>
            </w:r>
          </w:p>
        </w:tc>
        <w:tc>
          <w:tcPr>
            <w:tcW w:w="4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BE286">
            <w:pPr>
              <w:keepNext w:val="0"/>
              <w:keepLines w:val="0"/>
              <w:widowControl/>
              <w:suppressLineNumbers w:val="0"/>
              <w:spacing w:line="240" w:lineRule="auto"/>
              <w:ind w:left="0" w:leftChars="0" w:firstLine="0" w:firstLineChars="0"/>
              <w:jc w:val="center"/>
              <w:textAlignment w:val="center"/>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群众信访办理情况</w:t>
            </w:r>
          </w:p>
        </w:tc>
        <w:tc>
          <w:tcPr>
            <w:tcW w:w="11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90D894">
            <w:pPr>
              <w:keepNext w:val="0"/>
              <w:keepLines w:val="0"/>
              <w:widowControl/>
              <w:suppressLineNumbers w:val="0"/>
              <w:spacing w:line="240" w:lineRule="auto"/>
              <w:ind w:left="0" w:leftChars="0" w:firstLine="0" w:firstLineChars="0"/>
              <w:jc w:val="center"/>
              <w:textAlignment w:val="center"/>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3</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1D0910">
            <w:pPr>
              <w:keepNext w:val="0"/>
              <w:keepLines w:val="0"/>
              <w:widowControl/>
              <w:suppressLineNumbers w:val="0"/>
              <w:spacing w:line="240" w:lineRule="auto"/>
              <w:ind w:left="0" w:leftChars="0" w:firstLine="0" w:firstLineChars="0"/>
              <w:jc w:val="center"/>
              <w:textAlignment w:val="center"/>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100%</w:t>
            </w:r>
          </w:p>
        </w:tc>
      </w:tr>
      <w:tr w14:paraId="2FC9E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CD358">
            <w:pPr>
              <w:keepNext w:val="0"/>
              <w:keepLines w:val="0"/>
              <w:widowControl/>
              <w:suppressLineNumbers w:val="0"/>
              <w:spacing w:line="240" w:lineRule="auto"/>
              <w:ind w:left="0" w:leftChars="0" w:firstLine="0" w:firstLineChars="0"/>
              <w:jc w:val="center"/>
              <w:textAlignment w:val="center"/>
              <w:rPr>
                <w:rFonts w:hint="eastAsia" w:ascii="Times New Roman" w:hAnsi="Times New Roman" w:cs="Times New Roman"/>
                <w:color w:val="auto"/>
                <w:sz w:val="24"/>
                <w:szCs w:val="24"/>
                <w:highlight w:val="none"/>
                <w:lang w:val="en-US" w:eastAsia="zh-CN"/>
              </w:rPr>
            </w:pP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65A8F">
            <w:pPr>
              <w:keepNext w:val="0"/>
              <w:keepLines w:val="0"/>
              <w:widowControl/>
              <w:suppressLineNumbers w:val="0"/>
              <w:spacing w:line="240" w:lineRule="auto"/>
              <w:ind w:left="0" w:leftChars="0" w:firstLine="0" w:firstLineChars="0"/>
              <w:jc w:val="center"/>
              <w:textAlignment w:val="center"/>
              <w:rPr>
                <w:rFonts w:hint="eastAsia" w:ascii="Times New Roman" w:hAnsi="Times New Roman" w:cs="Times New Roman"/>
                <w:color w:val="auto"/>
                <w:sz w:val="24"/>
                <w:szCs w:val="24"/>
                <w:highlight w:val="none"/>
                <w:lang w:val="en-US" w:eastAsia="zh-CN"/>
              </w:rPr>
            </w:pPr>
          </w:p>
        </w:tc>
        <w:tc>
          <w:tcPr>
            <w:tcW w:w="4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5EDAF">
            <w:pPr>
              <w:keepNext w:val="0"/>
              <w:keepLines w:val="0"/>
              <w:widowControl/>
              <w:suppressLineNumbers w:val="0"/>
              <w:spacing w:line="240" w:lineRule="auto"/>
              <w:ind w:left="0" w:leftChars="0" w:firstLine="0" w:firstLineChars="0"/>
              <w:jc w:val="center"/>
              <w:textAlignment w:val="center"/>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公众或服务对象满意度</w:t>
            </w: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8EFEC">
            <w:pPr>
              <w:keepNext w:val="0"/>
              <w:keepLines w:val="0"/>
              <w:widowControl/>
              <w:suppressLineNumbers w:val="0"/>
              <w:spacing w:line="240" w:lineRule="auto"/>
              <w:ind w:left="0" w:leftChars="0" w:firstLine="0" w:firstLineChars="0"/>
              <w:jc w:val="center"/>
              <w:textAlignment w:val="center"/>
              <w:rPr>
                <w:rFonts w:hint="eastAsia" w:ascii="Times New Roman" w:hAnsi="Times New Roman" w:cs="Times New Roman"/>
                <w:color w:val="auto"/>
                <w:sz w:val="24"/>
                <w:szCs w:val="24"/>
                <w:highlight w:val="none"/>
                <w:lang w:val="en-US" w:eastAsia="zh-CN"/>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79F97">
            <w:pPr>
              <w:keepNext w:val="0"/>
              <w:keepLines w:val="0"/>
              <w:widowControl/>
              <w:suppressLineNumbers w:val="0"/>
              <w:spacing w:line="240" w:lineRule="auto"/>
              <w:ind w:left="0" w:leftChars="0" w:firstLine="0" w:firstLineChars="0"/>
              <w:jc w:val="center"/>
              <w:textAlignment w:val="center"/>
              <w:rPr>
                <w:rFonts w:hint="eastAsia" w:ascii="Times New Roman" w:hAnsi="Times New Roman" w:cs="Times New Roman"/>
                <w:color w:val="auto"/>
                <w:sz w:val="24"/>
                <w:szCs w:val="24"/>
                <w:highlight w:val="none"/>
                <w:lang w:val="en-US" w:eastAsia="zh-CN"/>
              </w:rPr>
            </w:pPr>
          </w:p>
        </w:tc>
      </w:tr>
      <w:tr w14:paraId="4FD8E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61713C">
            <w:pPr>
              <w:keepNext w:val="0"/>
              <w:keepLines w:val="0"/>
              <w:widowControl/>
              <w:suppressLineNumbers w:val="0"/>
              <w:spacing w:line="240" w:lineRule="auto"/>
              <w:ind w:left="0" w:leftChars="0" w:firstLine="0" w:firstLineChars="0"/>
              <w:jc w:val="center"/>
              <w:textAlignment w:val="center"/>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加减分项</w:t>
            </w:r>
          </w:p>
        </w:tc>
        <w:tc>
          <w:tcPr>
            <w:tcW w:w="4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B234E">
            <w:pPr>
              <w:keepNext w:val="0"/>
              <w:keepLines w:val="0"/>
              <w:widowControl/>
              <w:suppressLineNumbers w:val="0"/>
              <w:spacing w:line="240" w:lineRule="auto"/>
              <w:ind w:left="0" w:leftChars="0" w:firstLine="0" w:firstLineChars="0"/>
              <w:jc w:val="center"/>
              <w:textAlignment w:val="center"/>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工作受表彰或批评</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EBDF9">
            <w:pPr>
              <w:keepNext w:val="0"/>
              <w:keepLines w:val="0"/>
              <w:widowControl/>
              <w:suppressLineNumbers w:val="0"/>
              <w:spacing w:line="240" w:lineRule="auto"/>
              <w:ind w:left="0" w:leftChars="0" w:firstLine="0" w:firstLineChars="0"/>
              <w:jc w:val="center"/>
              <w:textAlignment w:val="center"/>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2</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CCD83">
            <w:pPr>
              <w:keepNext w:val="0"/>
              <w:keepLines w:val="0"/>
              <w:widowControl/>
              <w:suppressLineNumbers w:val="0"/>
              <w:spacing w:line="240" w:lineRule="auto"/>
              <w:ind w:left="0" w:leftChars="0" w:firstLine="0" w:firstLineChars="0"/>
              <w:jc w:val="center"/>
              <w:textAlignment w:val="center"/>
              <w:rPr>
                <w:rFonts w:hint="eastAsia" w:ascii="Times New Roman" w:hAnsi="Times New Roman" w:cs="Times New Roman"/>
                <w:color w:val="auto"/>
                <w:sz w:val="24"/>
                <w:szCs w:val="24"/>
                <w:highlight w:val="none"/>
                <w:lang w:val="en-US" w:eastAsia="zh-CN"/>
              </w:rPr>
            </w:pPr>
          </w:p>
        </w:tc>
      </w:tr>
      <w:tr w14:paraId="15AEF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E762C9">
            <w:pPr>
              <w:keepNext w:val="0"/>
              <w:keepLines w:val="0"/>
              <w:widowControl/>
              <w:suppressLineNumbers w:val="0"/>
              <w:spacing w:line="240" w:lineRule="auto"/>
              <w:ind w:left="0" w:leftChars="0" w:firstLine="0" w:firstLineChars="0"/>
              <w:jc w:val="center"/>
              <w:textAlignment w:val="center"/>
              <w:rPr>
                <w:rFonts w:hint="eastAsia" w:ascii="Times New Roman" w:hAnsi="Times New Roman" w:cs="Times New Roman"/>
                <w:color w:val="auto"/>
                <w:sz w:val="24"/>
                <w:szCs w:val="24"/>
                <w:highlight w:val="none"/>
                <w:lang w:val="en-US" w:eastAsia="zh-CN"/>
              </w:rPr>
            </w:pPr>
            <w:r>
              <w:rPr>
                <w:rFonts w:hint="eastAsia" w:cs="Times New Roman"/>
                <w:color w:val="auto"/>
                <w:sz w:val="24"/>
                <w:szCs w:val="24"/>
                <w:highlight w:val="none"/>
                <w:lang w:val="en-US" w:eastAsia="zh-CN"/>
              </w:rPr>
              <w:t>合计</w:t>
            </w:r>
          </w:p>
        </w:tc>
        <w:tc>
          <w:tcPr>
            <w:tcW w:w="4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522F4">
            <w:pPr>
              <w:keepNext w:val="0"/>
              <w:keepLines w:val="0"/>
              <w:widowControl/>
              <w:suppressLineNumbers w:val="0"/>
              <w:spacing w:line="240" w:lineRule="auto"/>
              <w:ind w:left="0" w:leftChars="0" w:firstLine="0" w:firstLineChars="0"/>
              <w:jc w:val="center"/>
              <w:textAlignment w:val="center"/>
              <w:rPr>
                <w:rFonts w:hint="eastAsia" w:ascii="Times New Roman" w:hAnsi="Times New Roman" w:cs="Times New Roman"/>
                <w:color w:val="auto"/>
                <w:sz w:val="24"/>
                <w:szCs w:val="24"/>
                <w:highlight w:val="none"/>
                <w:lang w:val="en-US" w:eastAsia="zh-CN"/>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3D92A">
            <w:pPr>
              <w:keepNext w:val="0"/>
              <w:keepLines w:val="0"/>
              <w:widowControl/>
              <w:suppressLineNumbers w:val="0"/>
              <w:spacing w:line="240" w:lineRule="auto"/>
              <w:ind w:left="0" w:leftChars="0" w:firstLine="0" w:firstLineChars="0"/>
              <w:jc w:val="center"/>
              <w:textAlignment w:val="center"/>
              <w:rPr>
                <w:rFonts w:hint="default" w:ascii="Times New Roman" w:hAnsi="Times New Roman" w:cs="Times New Roman"/>
                <w:color w:val="auto"/>
                <w:sz w:val="24"/>
                <w:szCs w:val="24"/>
                <w:highlight w:val="none"/>
                <w:lang w:val="en-US" w:eastAsia="zh-CN"/>
              </w:rPr>
            </w:pPr>
            <w:r>
              <w:rPr>
                <w:rFonts w:hint="eastAsia" w:cs="Times New Roman"/>
                <w:color w:val="auto"/>
                <w:sz w:val="24"/>
                <w:szCs w:val="24"/>
                <w:highlight w:val="none"/>
                <w:lang w:val="en-US" w:eastAsia="zh-CN"/>
              </w:rPr>
              <w:t>74.43</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5925D">
            <w:pPr>
              <w:keepNext w:val="0"/>
              <w:keepLines w:val="0"/>
              <w:widowControl/>
              <w:suppressLineNumbers w:val="0"/>
              <w:spacing w:line="240" w:lineRule="auto"/>
              <w:ind w:left="0" w:leftChars="0" w:firstLine="0" w:firstLineChars="0"/>
              <w:jc w:val="center"/>
              <w:textAlignment w:val="center"/>
              <w:rPr>
                <w:rFonts w:hint="eastAsia" w:ascii="Times New Roman" w:hAnsi="Times New Roman" w:cs="Times New Roman"/>
                <w:color w:val="auto"/>
                <w:sz w:val="24"/>
                <w:szCs w:val="24"/>
                <w:highlight w:val="none"/>
                <w:lang w:val="en-US" w:eastAsia="zh-CN"/>
              </w:rPr>
            </w:pPr>
            <w:r>
              <w:rPr>
                <w:rFonts w:hint="eastAsia" w:cs="Times New Roman"/>
                <w:color w:val="auto"/>
                <w:sz w:val="24"/>
                <w:szCs w:val="24"/>
                <w:highlight w:val="none"/>
                <w:lang w:val="en-US" w:eastAsia="zh-CN"/>
              </w:rPr>
              <w:t>74.43%</w:t>
            </w:r>
          </w:p>
        </w:tc>
      </w:tr>
    </w:tbl>
    <w:p w14:paraId="39426B3B">
      <w:pPr>
        <w:bidi w:val="0"/>
        <w:rPr>
          <w:rFonts w:hint="default"/>
          <w:color w:val="auto"/>
          <w:highlight w:val="none"/>
          <w:lang w:eastAsia="zh-CN"/>
        </w:rPr>
      </w:pPr>
    </w:p>
    <w:p w14:paraId="7A6CCC92">
      <w:pPr>
        <w:pStyle w:val="2"/>
        <w:bidi w:val="0"/>
        <w:rPr>
          <w:rFonts w:hint="eastAsia" w:ascii="Arial" w:hAnsi="Arial"/>
          <w:color w:val="auto"/>
          <w:highlight w:val="none"/>
        </w:rPr>
      </w:pPr>
      <w:bookmarkStart w:id="46" w:name="_Toc24653"/>
      <w:bookmarkStart w:id="47" w:name="_Toc10117"/>
      <w:bookmarkStart w:id="48" w:name="_Toc16851"/>
      <w:bookmarkStart w:id="49" w:name="_Toc32322"/>
      <w:bookmarkStart w:id="50" w:name="_Toc15382"/>
      <w:bookmarkStart w:id="51" w:name="_Toc25902"/>
      <w:bookmarkStart w:id="52" w:name="_Toc2644"/>
      <w:bookmarkStart w:id="53" w:name="_Toc24538"/>
      <w:r>
        <w:rPr>
          <w:rFonts w:hint="eastAsia" w:ascii="Arial" w:hAnsi="Arial"/>
          <w:color w:val="auto"/>
          <w:highlight w:val="none"/>
        </w:rPr>
        <w:t>四、</w:t>
      </w:r>
      <w:bookmarkEnd w:id="46"/>
      <w:bookmarkEnd w:id="47"/>
      <w:bookmarkEnd w:id="48"/>
      <w:bookmarkEnd w:id="49"/>
      <w:bookmarkEnd w:id="50"/>
      <w:bookmarkEnd w:id="51"/>
      <w:bookmarkEnd w:id="52"/>
      <w:bookmarkStart w:id="54" w:name="_Toc22396"/>
      <w:bookmarkStart w:id="55" w:name="_Toc30489"/>
      <w:bookmarkStart w:id="56" w:name="_Toc12403"/>
      <w:bookmarkStart w:id="57" w:name="_Toc20594"/>
      <w:bookmarkStart w:id="58" w:name="_Toc30093"/>
      <w:bookmarkStart w:id="59" w:name="_Toc10991"/>
      <w:r>
        <w:rPr>
          <w:rFonts w:hint="eastAsia" w:ascii="Arial" w:hAnsi="Arial"/>
          <w:color w:val="auto"/>
          <w:highlight w:val="none"/>
        </w:rPr>
        <w:t>主要绩效</w:t>
      </w:r>
      <w:bookmarkEnd w:id="53"/>
      <w:bookmarkEnd w:id="54"/>
      <w:bookmarkEnd w:id="55"/>
      <w:bookmarkEnd w:id="56"/>
    </w:p>
    <w:p w14:paraId="36993205">
      <w:pPr>
        <w:bidi w:val="0"/>
        <w:rPr>
          <w:rFonts w:hint="default"/>
          <w:color w:val="auto"/>
          <w:highlight w:val="none"/>
          <w:lang w:eastAsia="zh-CN"/>
        </w:rPr>
      </w:pPr>
      <w:r>
        <w:rPr>
          <w:rFonts w:hint="default"/>
          <w:color w:val="auto"/>
          <w:highlight w:val="none"/>
          <w:lang w:eastAsia="zh-CN"/>
        </w:rPr>
        <w:t>按照上级部门的年度工作部署，西郊街道年度各项工作得到有效推进，在推进重点项目建设和持续开展各村（社区）道路建设方面均取得显著成效。</w:t>
      </w:r>
    </w:p>
    <w:p w14:paraId="28FF3D0A">
      <w:pPr>
        <w:bidi w:val="0"/>
        <w:rPr>
          <w:rFonts w:hint="default"/>
          <w:color w:val="auto"/>
          <w:highlight w:val="none"/>
          <w:lang w:eastAsia="zh-CN"/>
        </w:rPr>
      </w:pPr>
      <w:r>
        <w:rPr>
          <w:rFonts w:hint="default"/>
          <w:color w:val="auto"/>
          <w:highlight w:val="none"/>
          <w:lang w:eastAsia="zh-CN"/>
        </w:rPr>
        <w:t>（1）推进重点项目建设</w:t>
      </w:r>
    </w:p>
    <w:p w14:paraId="7BE3589F">
      <w:pPr>
        <w:keepNext w:val="0"/>
        <w:keepLines w:val="0"/>
        <w:widowControl w:val="0"/>
        <w:suppressLineNumbers w:val="0"/>
        <w:bidi w:val="0"/>
        <w:spacing w:before="0" w:beforeAutospacing="0" w:after="0" w:afterAutospacing="0"/>
        <w:ind w:left="0" w:right="0"/>
        <w:jc w:val="both"/>
        <w:rPr>
          <w:rFonts w:hint="default"/>
          <w:color w:val="auto"/>
          <w:highlight w:val="none"/>
          <w:lang w:eastAsia="zh-CN"/>
        </w:rPr>
      </w:pPr>
      <w:r>
        <w:rPr>
          <w:rFonts w:hint="default" w:ascii="仿宋_GB2312" w:hAnsi="Times New Roman" w:eastAsia="仿宋_GB2312" w:cs="仿宋_GB2312"/>
          <w:color w:val="auto"/>
          <w:kern w:val="2"/>
          <w:sz w:val="32"/>
          <w:szCs w:val="32"/>
          <w:highlight w:val="none"/>
          <w:lang w:val="en-US" w:eastAsia="zh-CN" w:bidi="ar"/>
        </w:rPr>
        <w:t>月影塘社区县委宿舍老旧小区改造及周边历史建筑修缮项目全面完工，居家养老服务中心基本完工，梅兴路片区老旧小区建筑主体改造项目和金苑小区C区老旧小区周边道路及配套基础设施提升改造项目顺利推进，</w:t>
      </w:r>
      <w:r>
        <w:rPr>
          <w:rFonts w:hint="default" w:ascii="仿宋_GB2312" w:hAnsi="Times New Roman" w:eastAsia="仿宋_GB2312" w:cs="仿宋_GB2312"/>
          <w:color w:val="auto"/>
          <w:kern w:val="2"/>
          <w:sz w:val="32"/>
          <w:szCs w:val="32"/>
          <w:highlight w:val="none"/>
          <w:lang w:eastAsia="zh-CN" w:bidi="ar"/>
        </w:rPr>
        <w:t>改善</w:t>
      </w:r>
      <w:r>
        <w:rPr>
          <w:rFonts w:hint="default" w:ascii="仿宋_GB2312" w:hAnsi="Times New Roman" w:eastAsia="仿宋_GB2312" w:cs="仿宋_GB2312"/>
          <w:color w:val="auto"/>
          <w:kern w:val="2"/>
          <w:sz w:val="32"/>
          <w:szCs w:val="32"/>
          <w:highlight w:val="none"/>
          <w:lang w:val="en-US" w:eastAsia="zh-CN" w:bidi="ar"/>
        </w:rPr>
        <w:t>供水、供暖、排污系统</w:t>
      </w:r>
      <w:r>
        <w:rPr>
          <w:rFonts w:hint="default" w:ascii="仿宋_GB2312" w:hAnsi="Times New Roman" w:eastAsia="仿宋_GB2312" w:cs="仿宋_GB2312"/>
          <w:color w:val="auto"/>
          <w:kern w:val="2"/>
          <w:sz w:val="32"/>
          <w:szCs w:val="32"/>
          <w:highlight w:val="none"/>
          <w:lang w:eastAsia="zh-CN" w:bidi="ar"/>
        </w:rPr>
        <w:t>等条件</w:t>
      </w:r>
      <w:r>
        <w:rPr>
          <w:rFonts w:hint="default" w:ascii="仿宋_GB2312" w:hAnsi="Times New Roman" w:eastAsia="仿宋_GB2312" w:cs="仿宋_GB2312"/>
          <w:color w:val="auto"/>
          <w:kern w:val="2"/>
          <w:sz w:val="32"/>
          <w:szCs w:val="32"/>
          <w:highlight w:val="none"/>
          <w:lang w:val="en-US" w:eastAsia="zh-CN" w:bidi="ar"/>
        </w:rPr>
        <w:t>，并提供安全、舒适的居住环境。促进社区发展和社会稳定、改善城市面貌</w:t>
      </w:r>
      <w:r>
        <w:rPr>
          <w:rFonts w:hint="default" w:ascii="仿宋_GB2312" w:hAnsi="Times New Roman" w:eastAsia="仿宋_GB2312" w:cs="仿宋_GB2312"/>
          <w:color w:val="auto"/>
          <w:kern w:val="2"/>
          <w:sz w:val="32"/>
          <w:szCs w:val="32"/>
          <w:highlight w:val="none"/>
          <w:lang w:eastAsia="zh-CN" w:bidi="ar"/>
        </w:rPr>
        <w:t>让</w:t>
      </w:r>
      <w:r>
        <w:rPr>
          <w:rFonts w:hint="default" w:ascii="仿宋_GB2312" w:hAnsi="Times New Roman" w:eastAsia="仿宋_GB2312" w:cs="仿宋_GB2312"/>
          <w:color w:val="auto"/>
          <w:kern w:val="2"/>
          <w:sz w:val="32"/>
          <w:szCs w:val="32"/>
          <w:highlight w:val="none"/>
          <w:lang w:val="en-US" w:eastAsia="zh-CN" w:bidi="ar"/>
        </w:rPr>
        <w:t>人民生活环境水平稳步提高。</w:t>
      </w:r>
    </w:p>
    <w:p w14:paraId="45126EB1">
      <w:pPr>
        <w:bidi w:val="0"/>
        <w:rPr>
          <w:rFonts w:hint="default"/>
          <w:color w:val="auto"/>
          <w:highlight w:val="none"/>
          <w:lang w:eastAsia="zh-CN"/>
        </w:rPr>
      </w:pPr>
      <w:r>
        <w:rPr>
          <w:rFonts w:hint="default"/>
          <w:color w:val="auto"/>
          <w:highlight w:val="none"/>
          <w:lang w:eastAsia="zh-CN"/>
        </w:rPr>
        <w:t>（2）持续开展各村（社区）道路建设</w:t>
      </w:r>
    </w:p>
    <w:p w14:paraId="60E244A8">
      <w:pPr>
        <w:keepNext w:val="0"/>
        <w:keepLines w:val="0"/>
        <w:widowControl w:val="0"/>
        <w:suppressLineNumbers w:val="0"/>
        <w:bidi w:val="0"/>
        <w:spacing w:before="0" w:beforeAutospacing="0" w:after="0" w:afterAutospacing="0"/>
        <w:ind w:left="0" w:right="0"/>
        <w:jc w:val="both"/>
        <w:rPr>
          <w:rFonts w:hint="default"/>
          <w:color w:val="auto"/>
          <w:highlight w:val="none"/>
          <w:lang w:eastAsia="zh-CN"/>
        </w:rPr>
      </w:pPr>
      <w:r>
        <w:rPr>
          <w:rFonts w:hint="default" w:ascii="仿宋_GB2312" w:hAnsi="Times New Roman" w:eastAsia="仿宋_GB2312" w:cs="仿宋_GB2312"/>
          <w:color w:val="auto"/>
          <w:kern w:val="2"/>
          <w:sz w:val="32"/>
          <w:szCs w:val="32"/>
          <w:highlight w:val="none"/>
          <w:lang w:eastAsia="zh-CN" w:bidi="ar"/>
        </w:rPr>
        <w:t>进行</w:t>
      </w:r>
      <w:r>
        <w:rPr>
          <w:rFonts w:hint="default" w:ascii="仿宋_GB2312" w:hAnsi="Times New Roman" w:eastAsia="仿宋_GB2312" w:cs="仿宋_GB2312"/>
          <w:color w:val="auto"/>
          <w:kern w:val="2"/>
          <w:sz w:val="32"/>
          <w:szCs w:val="32"/>
          <w:highlight w:val="none"/>
          <w:lang w:val="en-US" w:eastAsia="zh-CN" w:bidi="ar"/>
        </w:rPr>
        <w:t>道路硬底化、路面拓宽、管线整治等民生实事工程</w:t>
      </w:r>
      <w:r>
        <w:rPr>
          <w:rFonts w:hint="default" w:ascii="仿宋_GB2312" w:hAnsi="Times New Roman" w:eastAsia="仿宋_GB2312" w:cs="仿宋_GB2312"/>
          <w:color w:val="auto"/>
          <w:kern w:val="2"/>
          <w:sz w:val="32"/>
          <w:szCs w:val="32"/>
          <w:highlight w:val="none"/>
          <w:lang w:eastAsia="zh-CN" w:bidi="ar"/>
        </w:rPr>
        <w:t>，</w:t>
      </w:r>
      <w:r>
        <w:rPr>
          <w:rFonts w:hint="default" w:ascii="仿宋_GB2312" w:hAnsi="Times New Roman" w:eastAsia="仿宋_GB2312" w:cs="仿宋_GB2312"/>
          <w:color w:val="auto"/>
          <w:kern w:val="2"/>
          <w:sz w:val="32"/>
          <w:szCs w:val="32"/>
          <w:highlight w:val="none"/>
          <w:lang w:val="en-US" w:eastAsia="zh-CN" w:bidi="ar"/>
        </w:rPr>
        <w:t>提升改造沙子墩彭屋段、黄塘12组至新峰路、黄塘8组祖屋至老铁路等10条便民路段，净化黄泥墩社区南北塘水质，基本完成城区创文范围内缆线提升整治工作，在11个村（社区）布置238个垃圾投放点，基本完成西郊街道生活垃圾分类示范区建设工作</w:t>
      </w:r>
      <w:r>
        <w:rPr>
          <w:rFonts w:hint="default" w:ascii="仿宋_GB2312" w:hAnsi="Times New Roman" w:eastAsia="仿宋_GB2312" w:cs="仿宋_GB2312"/>
          <w:color w:val="auto"/>
          <w:kern w:val="2"/>
          <w:sz w:val="32"/>
          <w:szCs w:val="32"/>
          <w:highlight w:val="none"/>
          <w:lang w:eastAsia="zh-CN" w:bidi="ar"/>
        </w:rPr>
        <w:t>。在改善交通条件，</w:t>
      </w:r>
      <w:r>
        <w:rPr>
          <w:rFonts w:hint="default" w:ascii="仿宋_GB2312" w:hAnsi="Times New Roman" w:eastAsia="仿宋_GB2312" w:cs="仿宋_GB2312"/>
          <w:color w:val="auto"/>
          <w:kern w:val="2"/>
          <w:sz w:val="32"/>
          <w:szCs w:val="32"/>
          <w:highlight w:val="none"/>
          <w:lang w:val="en-US" w:eastAsia="zh-CN" w:bidi="ar"/>
        </w:rPr>
        <w:t>缩短</w:t>
      </w:r>
      <w:r>
        <w:rPr>
          <w:rFonts w:hint="default" w:ascii="仿宋_GB2312" w:hAnsi="Times New Roman" w:eastAsia="仿宋_GB2312" w:cs="仿宋_GB2312"/>
          <w:color w:val="auto"/>
          <w:kern w:val="2"/>
          <w:sz w:val="32"/>
          <w:szCs w:val="32"/>
          <w:highlight w:val="none"/>
          <w:lang w:eastAsia="zh-CN" w:bidi="ar"/>
        </w:rPr>
        <w:t>居民</w:t>
      </w:r>
      <w:r>
        <w:rPr>
          <w:rFonts w:hint="default" w:ascii="仿宋_GB2312" w:hAnsi="Times New Roman" w:eastAsia="仿宋_GB2312" w:cs="仿宋_GB2312"/>
          <w:color w:val="auto"/>
          <w:kern w:val="2"/>
          <w:sz w:val="32"/>
          <w:szCs w:val="32"/>
          <w:highlight w:val="none"/>
          <w:lang w:val="en-US" w:eastAsia="zh-CN" w:bidi="ar"/>
        </w:rPr>
        <w:t>出行时间，提高交通效率，促进乡村产业发展、提升经济发展</w:t>
      </w:r>
      <w:r>
        <w:rPr>
          <w:rFonts w:hint="default" w:ascii="仿宋_GB2312" w:hAnsi="Times New Roman" w:eastAsia="仿宋_GB2312" w:cs="仿宋_GB2312"/>
          <w:color w:val="auto"/>
          <w:kern w:val="2"/>
          <w:sz w:val="32"/>
          <w:szCs w:val="32"/>
          <w:highlight w:val="none"/>
          <w:lang w:eastAsia="zh-CN" w:bidi="ar"/>
        </w:rPr>
        <w:t>做出了巨大保障。</w:t>
      </w:r>
    </w:p>
    <w:p w14:paraId="460E4338">
      <w:pPr>
        <w:bidi w:val="0"/>
        <w:rPr>
          <w:rFonts w:hint="eastAsia"/>
          <w:color w:val="auto"/>
          <w:highlight w:val="none"/>
          <w:lang w:val="en-US" w:eastAsia="zh-CN"/>
        </w:rPr>
      </w:pPr>
    </w:p>
    <w:p w14:paraId="31BD936C">
      <w:pPr>
        <w:pStyle w:val="2"/>
        <w:bidi w:val="0"/>
        <w:rPr>
          <w:rFonts w:hint="eastAsia" w:ascii="Arial" w:hAnsi="Arial"/>
          <w:color w:val="auto"/>
          <w:highlight w:val="none"/>
        </w:rPr>
      </w:pPr>
      <w:bookmarkStart w:id="60" w:name="_Toc21429"/>
      <w:bookmarkStart w:id="61" w:name="_Toc7369"/>
      <w:bookmarkStart w:id="62" w:name="_Toc5578"/>
      <w:r>
        <w:rPr>
          <w:rFonts w:hint="eastAsia" w:ascii="Arial" w:hAnsi="Arial"/>
          <w:color w:val="auto"/>
          <w:highlight w:val="none"/>
        </w:rPr>
        <w:t>五、存在问题</w:t>
      </w:r>
      <w:bookmarkEnd w:id="60"/>
      <w:bookmarkEnd w:id="61"/>
      <w:bookmarkEnd w:id="62"/>
    </w:p>
    <w:p w14:paraId="68366D11">
      <w:pPr>
        <w:pStyle w:val="4"/>
        <w:bidi w:val="0"/>
        <w:rPr>
          <w:rFonts w:hint="default"/>
          <w:color w:val="auto"/>
          <w:highlight w:val="none"/>
          <w:lang w:val="en-US" w:eastAsia="zh-CN"/>
        </w:rPr>
      </w:pPr>
      <w:bookmarkStart w:id="63" w:name="_Toc24287"/>
      <w:r>
        <w:rPr>
          <w:rFonts w:hint="eastAsia"/>
          <w:color w:val="auto"/>
          <w:highlight w:val="none"/>
          <w:lang w:val="en-US" w:eastAsia="zh-CN"/>
        </w:rPr>
        <w:t>（一）固定资产管理欠规范，资产盘点不到位</w:t>
      </w:r>
      <w:bookmarkEnd w:id="63"/>
    </w:p>
    <w:p w14:paraId="570FD0AA">
      <w:pPr>
        <w:bidi w:val="0"/>
        <w:rPr>
          <w:rFonts w:hint="default" w:ascii="Calibri" w:hAnsi="Calibri" w:eastAsia="仿宋_GB2312" w:cs="Calibri"/>
          <w:color w:val="auto"/>
          <w:sz w:val="32"/>
          <w:szCs w:val="20"/>
          <w:highlight w:val="none"/>
          <w:lang w:val="en-US" w:eastAsia="zh-CN"/>
        </w:rPr>
      </w:pPr>
      <w:r>
        <w:rPr>
          <w:rFonts w:hint="eastAsia"/>
          <w:color w:val="auto"/>
          <w:highlight w:val="none"/>
          <w:lang w:val="en-US" w:eastAsia="zh-CN"/>
        </w:rPr>
        <w:t>通过对被评单位的固定资产抽检发现，所抽取的固定资产中，有部分并未按要求贴有固定资产标签</w:t>
      </w:r>
      <w:r>
        <w:rPr>
          <w:rFonts w:hint="default"/>
          <w:color w:val="auto"/>
          <w:highlight w:val="none"/>
          <w:lang w:eastAsia="zh-CN"/>
        </w:rPr>
        <w:t>。</w:t>
      </w:r>
      <w:r>
        <w:rPr>
          <w:rFonts w:hint="eastAsia" w:ascii="Calibri" w:hAnsi="Calibri" w:cs="Calibri"/>
          <w:color w:val="auto"/>
          <w:sz w:val="32"/>
          <w:szCs w:val="20"/>
          <w:highlight w:val="none"/>
          <w:lang w:val="en-US" w:eastAsia="zh-CN"/>
        </w:rPr>
        <w:t>被评</w:t>
      </w:r>
      <w:r>
        <w:rPr>
          <w:rFonts w:hint="eastAsia" w:ascii="Calibri" w:hAnsi="Calibri" w:eastAsia="仿宋_GB2312" w:cs="Calibri"/>
          <w:color w:val="auto"/>
          <w:sz w:val="32"/>
          <w:szCs w:val="20"/>
          <w:highlight w:val="none"/>
          <w:lang w:val="en-US" w:eastAsia="zh-CN"/>
        </w:rPr>
        <w:t>单位</w:t>
      </w:r>
      <w:r>
        <w:rPr>
          <w:rFonts w:hint="eastAsia" w:ascii="Calibri" w:hAnsi="Calibri" w:cs="Calibri"/>
          <w:color w:val="auto"/>
          <w:sz w:val="32"/>
          <w:szCs w:val="20"/>
          <w:highlight w:val="none"/>
          <w:lang w:val="en-US" w:eastAsia="zh-CN"/>
        </w:rPr>
        <w:t>在2022年度虽然有更新</w:t>
      </w:r>
      <w:r>
        <w:rPr>
          <w:rFonts w:hint="eastAsia" w:ascii="Calibri" w:hAnsi="Calibri" w:eastAsia="仿宋_GB2312" w:cs="Calibri"/>
          <w:color w:val="auto"/>
          <w:sz w:val="32"/>
          <w:szCs w:val="20"/>
          <w:highlight w:val="none"/>
          <w:lang w:val="en-US" w:eastAsia="zh-CN"/>
        </w:rPr>
        <w:t>固定资产标签贴</w:t>
      </w:r>
      <w:r>
        <w:rPr>
          <w:rFonts w:hint="eastAsia" w:ascii="Calibri" w:hAnsi="Calibri" w:cs="Calibri"/>
          <w:color w:val="auto"/>
          <w:sz w:val="32"/>
          <w:szCs w:val="20"/>
          <w:highlight w:val="none"/>
          <w:lang w:val="en-US" w:eastAsia="zh-CN"/>
        </w:rPr>
        <w:t>，但在该年度</w:t>
      </w:r>
      <w:r>
        <w:rPr>
          <w:rFonts w:hint="eastAsia" w:ascii="Calibri" w:hAnsi="Calibri" w:eastAsia="仿宋_GB2312" w:cs="Calibri"/>
          <w:color w:val="auto"/>
          <w:sz w:val="32"/>
          <w:szCs w:val="20"/>
          <w:highlight w:val="none"/>
          <w:lang w:val="en-US" w:eastAsia="zh-CN"/>
        </w:rPr>
        <w:t>年终结账前</w:t>
      </w:r>
      <w:r>
        <w:rPr>
          <w:rFonts w:hint="eastAsia" w:ascii="Calibri" w:hAnsi="Calibri" w:cs="Calibri"/>
          <w:color w:val="auto"/>
          <w:sz w:val="32"/>
          <w:szCs w:val="20"/>
          <w:highlight w:val="none"/>
          <w:lang w:val="en-US" w:eastAsia="zh-CN"/>
        </w:rPr>
        <w:t>却</w:t>
      </w:r>
      <w:r>
        <w:rPr>
          <w:rFonts w:hint="eastAsia" w:ascii="Calibri" w:hAnsi="Calibri" w:eastAsia="仿宋_GB2312" w:cs="Calibri"/>
          <w:color w:val="auto"/>
          <w:sz w:val="32"/>
          <w:szCs w:val="20"/>
          <w:highlight w:val="none"/>
          <w:lang w:val="en-US" w:eastAsia="zh-CN"/>
        </w:rPr>
        <w:t>未做固定资产清盘，不符合《行政单位财务规则》</w:t>
      </w:r>
      <w:r>
        <w:rPr>
          <w:rFonts w:hint="eastAsia" w:ascii="Calibri" w:hAnsi="Calibri" w:cs="Calibri"/>
          <w:color w:val="auto"/>
          <w:sz w:val="32"/>
          <w:szCs w:val="20"/>
          <w:highlight w:val="none"/>
          <w:lang w:val="en-US" w:eastAsia="zh-CN"/>
        </w:rPr>
        <w:t>相关规定。</w:t>
      </w:r>
      <w:r>
        <w:rPr>
          <w:rFonts w:hint="eastAsia"/>
          <w:color w:val="auto"/>
          <w:highlight w:val="none"/>
          <w:lang w:val="en-US" w:eastAsia="zh-CN"/>
        </w:rPr>
        <w:t>而在检查</w:t>
      </w:r>
      <w:r>
        <w:rPr>
          <w:rFonts w:hint="default"/>
          <w:color w:val="auto"/>
          <w:highlight w:val="none"/>
          <w:lang w:eastAsia="zh-CN"/>
        </w:rPr>
        <w:t>固定资产清单</w:t>
      </w:r>
      <w:r>
        <w:rPr>
          <w:rFonts w:hint="eastAsia"/>
          <w:color w:val="auto"/>
          <w:highlight w:val="none"/>
          <w:lang w:val="en-US" w:eastAsia="zh-CN"/>
        </w:rPr>
        <w:t>时</w:t>
      </w:r>
      <w:r>
        <w:rPr>
          <w:rFonts w:hint="eastAsia"/>
          <w:color w:val="auto"/>
          <w:highlight w:val="none"/>
          <w:lang w:eastAsia="zh-CN"/>
        </w:rPr>
        <w:t>，</w:t>
      </w:r>
      <w:r>
        <w:rPr>
          <w:rFonts w:hint="eastAsia"/>
          <w:color w:val="auto"/>
          <w:highlight w:val="none"/>
          <w:lang w:val="en-US" w:eastAsia="zh-CN"/>
        </w:rPr>
        <w:t>也发现</w:t>
      </w:r>
      <w:r>
        <w:rPr>
          <w:rFonts w:hint="default"/>
          <w:color w:val="auto"/>
          <w:highlight w:val="none"/>
          <w:lang w:eastAsia="zh-CN"/>
        </w:rPr>
        <w:t>部分房屋建筑物由于历史遗留问题没有权属证明</w:t>
      </w:r>
      <w:r>
        <w:rPr>
          <w:rFonts w:hint="eastAsia"/>
          <w:color w:val="auto"/>
          <w:highlight w:val="none"/>
          <w:lang w:eastAsia="zh-CN"/>
        </w:rPr>
        <w:t>。</w:t>
      </w:r>
    </w:p>
    <w:p w14:paraId="7AE0DC3C">
      <w:pPr>
        <w:bidi w:val="0"/>
        <w:rPr>
          <w:rFonts w:hint="eastAsia" w:ascii="Calibri" w:hAnsi="Calibri" w:eastAsia="仿宋_GB2312" w:cs="Calibri"/>
          <w:color w:val="auto"/>
          <w:sz w:val="32"/>
          <w:szCs w:val="20"/>
          <w:highlight w:val="none"/>
          <w:lang w:val="en-US" w:eastAsia="zh-CN"/>
        </w:rPr>
      </w:pPr>
      <w:r>
        <w:rPr>
          <w:rFonts w:hint="eastAsia"/>
          <w:color w:val="auto"/>
          <w:highlight w:val="none"/>
          <w:lang w:val="en-US" w:eastAsia="zh-CN"/>
        </w:rPr>
        <w:t>评价中所发现的这些问题</w:t>
      </w:r>
      <w:r>
        <w:rPr>
          <w:rFonts w:hint="eastAsia" w:ascii="Calibri" w:hAnsi="Calibri" w:cs="Calibri"/>
          <w:color w:val="auto"/>
          <w:sz w:val="32"/>
          <w:szCs w:val="20"/>
          <w:highlight w:val="none"/>
          <w:lang w:val="en-US" w:eastAsia="zh-CN"/>
        </w:rPr>
        <w:t>反映了被评单位的资产管理水平仍有提高的空间，而这些问题若不予以重视，</w:t>
      </w:r>
      <w:r>
        <w:rPr>
          <w:rFonts w:hint="eastAsia"/>
          <w:color w:val="auto"/>
          <w:highlight w:val="none"/>
          <w:lang w:val="en-US" w:eastAsia="zh-CN"/>
        </w:rPr>
        <w:t>将使资产管有单位</w:t>
      </w:r>
      <w:r>
        <w:rPr>
          <w:rFonts w:hint="eastAsia" w:ascii="Calibri" w:hAnsi="Calibri" w:eastAsia="仿宋_GB2312" w:cs="Calibri"/>
          <w:color w:val="auto"/>
          <w:sz w:val="32"/>
          <w:szCs w:val="20"/>
          <w:highlight w:val="none"/>
          <w:lang w:val="en-US" w:eastAsia="zh-CN"/>
        </w:rPr>
        <w:t>无法实施有效的资产管理</w:t>
      </w:r>
      <w:r>
        <w:rPr>
          <w:rFonts w:hint="eastAsia" w:ascii="Calibri" w:hAnsi="Calibri" w:cs="Calibri"/>
          <w:color w:val="auto"/>
          <w:sz w:val="32"/>
          <w:szCs w:val="20"/>
          <w:highlight w:val="none"/>
          <w:lang w:val="en-US" w:eastAsia="zh-CN"/>
        </w:rPr>
        <w:t>，也极其容易引发特权、导致腐败行为</w:t>
      </w:r>
      <w:r>
        <w:rPr>
          <w:rFonts w:hint="eastAsia" w:ascii="Calibri" w:hAnsi="Calibri" w:eastAsia="仿宋_GB2312" w:cs="Calibri"/>
          <w:color w:val="auto"/>
          <w:sz w:val="32"/>
          <w:szCs w:val="20"/>
          <w:highlight w:val="none"/>
          <w:lang w:val="en-US" w:eastAsia="zh-CN"/>
        </w:rPr>
        <w:t>。</w:t>
      </w:r>
    </w:p>
    <w:p w14:paraId="7A4EC1EE">
      <w:pPr>
        <w:bidi w:val="0"/>
        <w:rPr>
          <w:rFonts w:hint="eastAsia" w:ascii="Calibri" w:hAnsi="Calibri" w:eastAsia="仿宋_GB2312" w:cs="Calibri"/>
          <w:color w:val="auto"/>
          <w:sz w:val="32"/>
          <w:szCs w:val="20"/>
          <w:highlight w:val="none"/>
          <w:lang w:val="en-US" w:eastAsia="zh-CN"/>
        </w:rPr>
      </w:pPr>
    </w:p>
    <w:p w14:paraId="0C8194EB">
      <w:pPr>
        <w:pStyle w:val="4"/>
        <w:bidi w:val="0"/>
        <w:rPr>
          <w:rFonts w:hint="default"/>
          <w:color w:val="auto"/>
          <w:highlight w:val="none"/>
          <w:lang w:val="en-US" w:eastAsia="zh-CN"/>
        </w:rPr>
      </w:pPr>
      <w:bookmarkStart w:id="64" w:name="_Toc8286"/>
      <w:r>
        <w:rPr>
          <w:rFonts w:hint="eastAsia"/>
          <w:color w:val="auto"/>
          <w:highlight w:val="none"/>
          <w:lang w:val="en-US" w:eastAsia="zh-CN"/>
        </w:rPr>
        <w:t>（二）项目立项欠科学，项目管理体系不完善</w:t>
      </w:r>
      <w:bookmarkEnd w:id="64"/>
    </w:p>
    <w:p w14:paraId="5DB7990C">
      <w:pPr>
        <w:bidi w:val="0"/>
        <w:rPr>
          <w:rFonts w:hint="default"/>
          <w:color w:val="auto"/>
          <w:highlight w:val="none"/>
          <w:lang w:val="en-US" w:eastAsia="zh-CN"/>
        </w:rPr>
      </w:pPr>
      <w:r>
        <w:rPr>
          <w:rFonts w:hint="eastAsia"/>
          <w:color w:val="auto"/>
          <w:highlight w:val="none"/>
          <w:lang w:val="en-US" w:eastAsia="zh-CN"/>
        </w:rPr>
        <w:t>评价组在本次评价发现资金使用单位在项目立项申报、项目过程管理等方面都有较多需要改善的地方。以被评单位的</w:t>
      </w:r>
      <w:r>
        <w:rPr>
          <w:rFonts w:hint="default"/>
          <w:color w:val="auto"/>
          <w:highlight w:val="none"/>
          <w:lang w:val="en-US" w:eastAsia="zh-CN"/>
        </w:rPr>
        <w:t>“各村社区创文、疫情防控、抢险救灾支出，望杏坊建设工作经费，办事处创文、疫情防控支出”</w:t>
      </w:r>
      <w:r>
        <w:rPr>
          <w:rFonts w:hint="eastAsia"/>
          <w:color w:val="auto"/>
          <w:highlight w:val="none"/>
          <w:lang w:val="en-US" w:eastAsia="zh-CN"/>
        </w:rPr>
        <w:t>为例，一个项目内包含了6个性质不同、责任（实施）部门不一的子项目。项目在立项阶段就陷入了实施内容繁杂、实施主体众多、项目考核困难的局面，这是在项目立项时需要考虑及避免的。</w:t>
      </w:r>
    </w:p>
    <w:p w14:paraId="62B48CAF">
      <w:pPr>
        <w:bidi w:val="0"/>
        <w:rPr>
          <w:rFonts w:hint="default"/>
          <w:color w:val="auto"/>
          <w:highlight w:val="none"/>
          <w:lang w:val="en-US" w:eastAsia="zh-CN"/>
        </w:rPr>
      </w:pPr>
      <w:r>
        <w:rPr>
          <w:rFonts w:hint="eastAsia"/>
          <w:color w:val="auto"/>
          <w:highlight w:val="none"/>
          <w:lang w:val="en-US" w:eastAsia="zh-CN"/>
        </w:rPr>
        <w:t>另外，在评价过程中也发现资金使用单位对项目实施过程的管理、监控意识并不强，也未能提供部门关于项目实施的工作指引或规范，难以对项目实施的数量、质量及时效进行考察及控制。</w:t>
      </w:r>
    </w:p>
    <w:p w14:paraId="6364D272">
      <w:pPr>
        <w:bidi w:val="0"/>
        <w:rPr>
          <w:rFonts w:hint="eastAsia"/>
          <w:color w:val="auto"/>
          <w:highlight w:val="none"/>
          <w:lang w:val="en-US" w:eastAsia="zh-CN"/>
        </w:rPr>
      </w:pPr>
    </w:p>
    <w:p w14:paraId="0F9E7010">
      <w:pPr>
        <w:pStyle w:val="4"/>
        <w:bidi w:val="0"/>
        <w:rPr>
          <w:rFonts w:hint="default"/>
          <w:color w:val="auto"/>
          <w:highlight w:val="none"/>
          <w:lang w:val="en-US" w:eastAsia="zh-CN"/>
        </w:rPr>
      </w:pPr>
      <w:bookmarkStart w:id="65" w:name="_Toc11612"/>
      <w:r>
        <w:rPr>
          <w:rFonts w:hint="eastAsia"/>
          <w:color w:val="auto"/>
          <w:highlight w:val="none"/>
          <w:lang w:val="en-US" w:eastAsia="zh-CN"/>
        </w:rPr>
        <w:t>（三）部门目标不明指标不清，绩效管理有待进一步落实</w:t>
      </w:r>
      <w:bookmarkEnd w:id="65"/>
    </w:p>
    <w:p w14:paraId="6E254E95">
      <w:pPr>
        <w:bidi w:val="0"/>
        <w:rPr>
          <w:rFonts w:hint="default"/>
          <w:color w:val="auto"/>
          <w:highlight w:val="none"/>
          <w:lang w:val="en-US" w:eastAsia="zh-CN"/>
        </w:rPr>
      </w:pPr>
      <w:r>
        <w:rPr>
          <w:rFonts w:hint="eastAsia"/>
          <w:color w:val="auto"/>
          <w:highlight w:val="none"/>
          <w:lang w:val="en-US" w:eastAsia="zh-CN"/>
        </w:rPr>
        <w:t>根据被评单位所提供的《部门整体预算绩效目标申报表》，其“总体绩效目标”只简单罗列了部门年度部分工作内容，未能较好涵盖部门职能、年度工作重点、年度项目等多个方面。年度重点工作任务则填报了“西郊重点工作”，其“主要实施内容”杂乱，缺少条理。“绩效指标”中，产出指标只设置了数量及时效指标，指标设置不全面，且所设的三级指标并无具体考核对象或相关的指标说明，考核内容不明、考核方式笼统含糊，并无实际的考核意义可言；效益指标设置所存在的问题也与产出指标相类似，指标设置纬度不全，考核对象、内容不明确，也无考核的操作说明。在如此的绩效目标（指标）设置基础上，绩效管理的有效落实确有其难度。而从被评单位自评情况、现场评价情况可见，绩效管理工作的确存在较大的改进空间。</w:t>
      </w:r>
    </w:p>
    <w:p w14:paraId="39B912F4">
      <w:pPr>
        <w:bidi w:val="0"/>
        <w:rPr>
          <w:rFonts w:hint="default"/>
          <w:color w:val="auto"/>
          <w:highlight w:val="none"/>
          <w:lang w:val="en-US" w:eastAsia="zh-CN"/>
        </w:rPr>
      </w:pPr>
    </w:p>
    <w:p w14:paraId="49BAC54A">
      <w:pPr>
        <w:pStyle w:val="2"/>
        <w:bidi w:val="0"/>
        <w:rPr>
          <w:rFonts w:hint="eastAsia" w:ascii="Arial" w:hAnsi="Arial"/>
          <w:color w:val="auto"/>
          <w:highlight w:val="none"/>
        </w:rPr>
      </w:pPr>
      <w:bookmarkStart w:id="66" w:name="_Toc2634"/>
      <w:bookmarkStart w:id="67" w:name="_Toc22614"/>
      <w:bookmarkStart w:id="68" w:name="_Toc25245"/>
      <w:bookmarkStart w:id="69" w:name="_Toc9804"/>
      <w:r>
        <w:rPr>
          <w:rFonts w:hint="eastAsia" w:ascii="Arial" w:hAnsi="Arial"/>
          <w:color w:val="auto"/>
          <w:highlight w:val="none"/>
        </w:rPr>
        <w:t>六、改进建议</w:t>
      </w:r>
      <w:bookmarkEnd w:id="66"/>
      <w:bookmarkEnd w:id="67"/>
      <w:bookmarkEnd w:id="68"/>
      <w:bookmarkEnd w:id="69"/>
    </w:p>
    <w:bookmarkEnd w:id="57"/>
    <w:bookmarkEnd w:id="58"/>
    <w:bookmarkEnd w:id="59"/>
    <w:p w14:paraId="6A905F51">
      <w:pPr>
        <w:pStyle w:val="4"/>
        <w:bidi w:val="0"/>
        <w:rPr>
          <w:rFonts w:hint="default"/>
          <w:color w:val="auto"/>
          <w:highlight w:val="none"/>
          <w:lang w:val="en-US" w:eastAsia="zh-CN"/>
        </w:rPr>
      </w:pPr>
      <w:bookmarkStart w:id="70" w:name="_Toc31770"/>
      <w:bookmarkStart w:id="71" w:name="_Toc30799"/>
      <w:r>
        <w:rPr>
          <w:rFonts w:hint="eastAsia"/>
          <w:color w:val="auto"/>
          <w:highlight w:val="none"/>
          <w:lang w:val="en-US" w:eastAsia="zh-CN"/>
        </w:rPr>
        <w:t>（一）通过定期盘点、确保资产合法性等，规范固定资产管理</w:t>
      </w:r>
      <w:bookmarkEnd w:id="70"/>
    </w:p>
    <w:p w14:paraId="10CCFBCB">
      <w:pPr>
        <w:bidi w:val="0"/>
        <w:rPr>
          <w:rFonts w:hint="eastAsia" w:ascii="Calibri" w:hAnsi="Calibri" w:cs="Calibri"/>
          <w:color w:val="auto"/>
          <w:sz w:val="32"/>
          <w:szCs w:val="20"/>
          <w:highlight w:val="none"/>
          <w:lang w:val="en-US" w:eastAsia="zh-CN"/>
        </w:rPr>
      </w:pPr>
      <w:r>
        <w:rPr>
          <w:rFonts w:hint="eastAsia" w:ascii="Calibri" w:hAnsi="Calibri" w:cs="Calibri"/>
          <w:color w:val="auto"/>
          <w:sz w:val="32"/>
          <w:szCs w:val="20"/>
          <w:highlight w:val="none"/>
          <w:lang w:val="en-US" w:eastAsia="zh-CN"/>
        </w:rPr>
        <w:t>要规范资产管理，首先要强化相关人员的管理意识，使其切实承担起资产使用者、管理者的责任，克服资产管理不好管、不易管，管理效益不突出的难题。</w:t>
      </w:r>
    </w:p>
    <w:p w14:paraId="36575205">
      <w:pPr>
        <w:bidi w:val="0"/>
        <w:rPr>
          <w:rFonts w:hint="default" w:ascii="Calibri" w:hAnsi="Calibri" w:cs="Calibri"/>
          <w:color w:val="auto"/>
          <w:sz w:val="32"/>
          <w:szCs w:val="20"/>
          <w:highlight w:val="none"/>
          <w:lang w:val="en-US" w:eastAsia="zh-CN"/>
        </w:rPr>
      </w:pPr>
      <w:r>
        <w:rPr>
          <w:rFonts w:hint="eastAsia" w:ascii="Calibri" w:hAnsi="Calibri" w:cs="Calibri"/>
          <w:color w:val="auto"/>
          <w:sz w:val="32"/>
          <w:szCs w:val="20"/>
          <w:highlight w:val="none"/>
          <w:lang w:val="en-US" w:eastAsia="zh-CN"/>
        </w:rPr>
        <w:t>固定资产标签相当于是是固定资产的“身份证”，是资产管理的基础手段。被评单位应根据管理要求一方面要在账目上详细记录各项固定资产的来源、验收、使用地点、责任单位和责任人、运转、维修、改造、折旧、盘点等相关内容，另一方面通过固定资产标签识别对应资产。</w:t>
      </w:r>
    </w:p>
    <w:p w14:paraId="7ADBD9A6">
      <w:pPr>
        <w:bidi w:val="0"/>
        <w:rPr>
          <w:rFonts w:hint="eastAsia"/>
          <w:color w:val="auto"/>
          <w:highlight w:val="none"/>
          <w:lang w:val="en-US" w:eastAsia="zh-CN"/>
        </w:rPr>
      </w:pPr>
      <w:r>
        <w:rPr>
          <w:rFonts w:hint="eastAsia" w:ascii="Calibri" w:hAnsi="Calibri" w:cs="Calibri"/>
          <w:color w:val="auto"/>
          <w:sz w:val="32"/>
          <w:szCs w:val="20"/>
          <w:highlight w:val="none"/>
          <w:lang w:val="en-US" w:eastAsia="zh-CN"/>
        </w:rPr>
        <w:t>资产盘点方面，建议资金使用单位严格根据</w:t>
      </w:r>
      <w:r>
        <w:rPr>
          <w:rFonts w:hint="eastAsia" w:ascii="Calibri" w:hAnsi="Calibri" w:eastAsia="仿宋_GB2312" w:cs="Calibri"/>
          <w:color w:val="auto"/>
          <w:sz w:val="32"/>
          <w:szCs w:val="20"/>
          <w:highlight w:val="none"/>
          <w:lang w:val="en-US" w:eastAsia="zh-CN"/>
        </w:rPr>
        <w:t>《行政单位财务规则》</w:t>
      </w:r>
      <w:r>
        <w:rPr>
          <w:rFonts w:hint="eastAsia"/>
          <w:color w:val="auto"/>
          <w:highlight w:val="none"/>
          <w:lang w:val="en-US" w:eastAsia="zh-CN"/>
        </w:rPr>
        <w:t>第三十六条“行政单位应当……定期或者不定期进行清查盘点、对账，保证账账相符，账实相符”的规定执行，按相关盘点的频次要求完成盘点工作。</w:t>
      </w:r>
    </w:p>
    <w:p w14:paraId="6B115E20">
      <w:pPr>
        <w:bidi w:val="0"/>
        <w:rPr>
          <w:rFonts w:hint="default" w:ascii="Calibri" w:hAnsi="Calibri" w:cs="Calibri"/>
          <w:color w:val="auto"/>
          <w:sz w:val="32"/>
          <w:szCs w:val="20"/>
          <w:highlight w:val="none"/>
          <w:lang w:val="en-US" w:eastAsia="zh-CN"/>
        </w:rPr>
      </w:pPr>
      <w:r>
        <w:rPr>
          <w:rFonts w:hint="eastAsia" w:ascii="Calibri" w:hAnsi="Calibri" w:cs="Calibri"/>
          <w:color w:val="auto"/>
          <w:sz w:val="32"/>
          <w:szCs w:val="20"/>
          <w:highlight w:val="none"/>
          <w:lang w:val="en-US" w:eastAsia="zh-CN"/>
        </w:rPr>
        <w:t>对于部分房屋权属证明缺失的问题，被评单位应积极理清各类资产产权关系，及时办理相关权证手续，确保资产的合法性。</w:t>
      </w:r>
    </w:p>
    <w:p w14:paraId="5E6164A5">
      <w:pPr>
        <w:bidi w:val="0"/>
        <w:rPr>
          <w:rFonts w:hint="eastAsia"/>
          <w:color w:val="auto"/>
          <w:highlight w:val="none"/>
          <w:lang w:val="en-US" w:eastAsia="zh-CN"/>
        </w:rPr>
      </w:pPr>
      <w:r>
        <w:rPr>
          <w:rFonts w:hint="eastAsia" w:ascii="Calibri" w:hAnsi="Calibri" w:cs="Calibri"/>
          <w:color w:val="auto"/>
          <w:sz w:val="32"/>
          <w:szCs w:val="20"/>
          <w:highlight w:val="none"/>
          <w:lang w:val="en-US" w:eastAsia="zh-CN"/>
        </w:rPr>
        <w:t>通过规范固定资产管理，避免出现产权清不清，权证不齐，使用不当，账物不符等等乱象，</w:t>
      </w:r>
      <w:r>
        <w:rPr>
          <w:rFonts w:hint="eastAsia"/>
          <w:color w:val="auto"/>
          <w:highlight w:val="none"/>
          <w:lang w:val="en-US" w:eastAsia="zh-CN"/>
        </w:rPr>
        <w:t>保证国有资产的安全完整，并使之保值增值。</w:t>
      </w:r>
    </w:p>
    <w:p w14:paraId="70B134C0">
      <w:pPr>
        <w:bidi w:val="0"/>
        <w:rPr>
          <w:rFonts w:hint="eastAsia"/>
          <w:color w:val="auto"/>
          <w:highlight w:val="none"/>
          <w:lang w:val="en-US" w:eastAsia="zh-CN"/>
        </w:rPr>
      </w:pPr>
    </w:p>
    <w:p w14:paraId="0E6F7372">
      <w:pPr>
        <w:pStyle w:val="4"/>
        <w:bidi w:val="0"/>
        <w:rPr>
          <w:rFonts w:hint="default"/>
          <w:color w:val="auto"/>
          <w:highlight w:val="none"/>
          <w:lang w:val="en-US" w:eastAsia="zh-CN"/>
        </w:rPr>
      </w:pPr>
      <w:bookmarkStart w:id="72" w:name="_Toc23059"/>
      <w:r>
        <w:rPr>
          <w:rFonts w:hint="eastAsia"/>
          <w:color w:val="auto"/>
          <w:highlight w:val="none"/>
          <w:lang w:val="en-US" w:eastAsia="zh-CN"/>
        </w:rPr>
        <w:t>（二）优化项目立项申报，加强项目管理</w:t>
      </w:r>
      <w:bookmarkEnd w:id="72"/>
    </w:p>
    <w:p w14:paraId="36A0B7D5">
      <w:pPr>
        <w:bidi w:val="0"/>
        <w:rPr>
          <w:rFonts w:hint="default"/>
          <w:color w:val="auto"/>
          <w:highlight w:val="none"/>
          <w:lang w:val="en-US" w:eastAsia="zh-CN"/>
        </w:rPr>
      </w:pPr>
      <w:r>
        <w:rPr>
          <w:rFonts w:hint="eastAsia"/>
          <w:color w:val="auto"/>
          <w:highlight w:val="none"/>
          <w:lang w:val="en-US" w:eastAsia="zh-CN"/>
        </w:rPr>
        <w:t>建议项目单位在项目立项阶段，进一步优化项目立项申报工作。对于因项目因资金规模较细、实施内容较少等原因需要进行“打包”立项的，应在理顺顺部门整体所需要执行的重点工作及项目的前提下，深化拟执行项目的前期论证，根据项目的实施内容、实施单位等进行“打包”。便于管理之余，也能提高各子项目的实施效能。</w:t>
      </w:r>
    </w:p>
    <w:p w14:paraId="5CCCFDF4">
      <w:pPr>
        <w:bidi w:val="0"/>
        <w:rPr>
          <w:rFonts w:hint="default"/>
          <w:color w:val="auto"/>
          <w:highlight w:val="none"/>
          <w:lang w:val="en-US" w:eastAsia="zh-CN"/>
        </w:rPr>
      </w:pPr>
      <w:r>
        <w:rPr>
          <w:rFonts w:hint="eastAsia"/>
          <w:color w:val="auto"/>
          <w:highlight w:val="none"/>
          <w:lang w:val="en-US" w:eastAsia="zh-CN"/>
        </w:rPr>
        <w:t>项目管理方面，要按照上级文件要求，根据部门实际，制定完善相关管理的工作制度，必要时也可以为特定项目制定工作规范。重视项目前期准备工作，做好项目实施计划，架构实施框架，明确参与各方的职责。在实施阶段要做好实施情况记录，注意痕迹管理，并根据项目特性实行监控。项目结束后，则需要对照立项的目标、指标对项目进行考核及验收。</w:t>
      </w:r>
    </w:p>
    <w:p w14:paraId="7C6E0FCB">
      <w:pPr>
        <w:bidi w:val="0"/>
        <w:rPr>
          <w:color w:val="auto"/>
          <w:highlight w:val="none"/>
        </w:rPr>
      </w:pPr>
    </w:p>
    <w:p w14:paraId="1A481418">
      <w:pPr>
        <w:pStyle w:val="4"/>
        <w:numPr>
          <w:ilvl w:val="0"/>
          <w:numId w:val="1"/>
        </w:numPr>
        <w:bidi w:val="0"/>
        <w:rPr>
          <w:rFonts w:hint="default"/>
          <w:b/>
          <w:bCs/>
          <w:color w:val="auto"/>
          <w:highlight w:val="none"/>
          <w:lang w:val="en-US" w:eastAsia="zh-CN"/>
        </w:rPr>
      </w:pPr>
      <w:bookmarkStart w:id="73" w:name="_Toc32327"/>
      <w:r>
        <w:rPr>
          <w:rFonts w:hint="eastAsia"/>
          <w:b/>
          <w:bCs/>
          <w:color w:val="auto"/>
          <w:highlight w:val="none"/>
          <w:lang w:val="en-US" w:eastAsia="zh-CN"/>
        </w:rPr>
        <w:t>进一步明确绩效目标，全面推进绩效管理</w:t>
      </w:r>
      <w:bookmarkEnd w:id="73"/>
    </w:p>
    <w:p w14:paraId="680160E8">
      <w:pPr>
        <w:bidi w:val="0"/>
        <w:rPr>
          <w:rFonts w:hint="default"/>
          <w:color w:val="auto"/>
          <w:highlight w:val="none"/>
          <w:lang w:val="en-US" w:eastAsia="zh-CN"/>
        </w:rPr>
      </w:pPr>
      <w:r>
        <w:rPr>
          <w:rFonts w:hint="eastAsia"/>
          <w:color w:val="auto"/>
          <w:highlight w:val="none"/>
          <w:lang w:val="en-US" w:eastAsia="zh-CN"/>
        </w:rPr>
        <w:t>部门整体绩效目标的设置应根据部门职能以及有关中长期发展规划来设定，在紧密围绕核心职能的同时，也要体现出年度重点工作任务、年度重点项目的相关目标。</w:t>
      </w:r>
    </w:p>
    <w:p w14:paraId="1AB667E0">
      <w:pPr>
        <w:bidi w:val="0"/>
        <w:rPr>
          <w:rFonts w:hint="default"/>
          <w:color w:val="auto"/>
          <w:highlight w:val="none"/>
          <w:lang w:val="en-US" w:eastAsia="zh-CN"/>
        </w:rPr>
      </w:pPr>
      <w:r>
        <w:rPr>
          <w:rFonts w:hint="eastAsia"/>
          <w:color w:val="auto"/>
          <w:highlight w:val="none"/>
          <w:lang w:val="en-US" w:eastAsia="zh-CN"/>
        </w:rPr>
        <w:t>部门整体绩效指标是对总体绩效目标和履职指标的分解和细化。具体指标值的设置，一方面应根据上级的文件精神、安排部署或人民政府的决策，另一方面也可以参照历史数据、行业标准、计划标准等等。指标值的设置应为具体、可衡量、可实现、与职能（目标）相关、有时间限定的，同时也应遵循从严、从高设定的原则，以体现财政资金使用的高效性约束作用。</w:t>
      </w:r>
    </w:p>
    <w:p w14:paraId="7A94E87C">
      <w:pPr>
        <w:bidi w:val="0"/>
        <w:rPr>
          <w:rFonts w:hint="default"/>
          <w:color w:val="auto"/>
          <w:highlight w:val="none"/>
          <w:lang w:val="en-US" w:eastAsia="zh-CN"/>
        </w:rPr>
      </w:pPr>
      <w:r>
        <w:rPr>
          <w:rFonts w:hint="eastAsia"/>
          <w:color w:val="auto"/>
          <w:highlight w:val="none"/>
          <w:lang w:val="en-US" w:eastAsia="zh-CN"/>
        </w:rPr>
        <w:t>在推进绩效管理方面，建议被评单位加强绩效管理的意识，通过培训学习等手段加深全体工作人员对绩效管理的认知，进一步完善部门绩效管理的制度及执行架构，科学设置部门（项目）绩效目标及指标，重视绩效管理的全过程实施，也要积极对绩效评价（管理）的结果加以应用，通过循环迭代，实现财政资金使用效率的持续提高。</w:t>
      </w:r>
    </w:p>
    <w:p w14:paraId="6B07547B">
      <w:pPr>
        <w:bidi w:val="0"/>
        <w:rPr>
          <w:color w:val="auto"/>
          <w:highlight w:val="none"/>
        </w:rPr>
      </w:pPr>
    </w:p>
    <w:bookmarkEnd w:id="71"/>
    <w:p w14:paraId="530F4785">
      <w:pPr>
        <w:bidi w:val="0"/>
        <w:rPr>
          <w:rFonts w:hint="eastAsia"/>
          <w:color w:val="auto"/>
          <w:highlight w:val="none"/>
        </w:rPr>
      </w:pPr>
      <w:bookmarkStart w:id="74" w:name="_Toc5544"/>
      <w:r>
        <w:rPr>
          <w:rFonts w:hint="eastAsia"/>
          <w:color w:val="auto"/>
          <w:highlight w:val="none"/>
        </w:rPr>
        <w:t>附件：1.部门整体支出绩效评价说明</w:t>
      </w:r>
    </w:p>
    <w:p w14:paraId="4127A1AC">
      <w:pPr>
        <w:bidi w:val="0"/>
        <w:ind w:left="0" w:leftChars="0" w:firstLine="1600" w:firstLineChars="500"/>
        <w:rPr>
          <w:rFonts w:hint="eastAsia"/>
          <w:color w:val="auto"/>
          <w:highlight w:val="none"/>
        </w:rPr>
      </w:pPr>
      <w:r>
        <w:rPr>
          <w:rFonts w:hint="eastAsia"/>
          <w:color w:val="auto"/>
          <w:highlight w:val="none"/>
        </w:rPr>
        <w:t>2.公众满意度调查问卷</w:t>
      </w:r>
    </w:p>
    <w:p w14:paraId="5CD15DA7">
      <w:pPr>
        <w:bidi w:val="0"/>
        <w:ind w:left="0" w:leftChars="0" w:firstLine="1600" w:firstLineChars="500"/>
        <w:rPr>
          <w:rFonts w:hint="eastAsia"/>
          <w:color w:val="auto"/>
          <w:highlight w:val="none"/>
        </w:rPr>
      </w:pPr>
      <w:r>
        <w:rPr>
          <w:rFonts w:hint="eastAsia"/>
          <w:color w:val="auto"/>
          <w:highlight w:val="none"/>
        </w:rPr>
        <w:t>3.部门整体支出资金安排表</w:t>
      </w:r>
    </w:p>
    <w:p w14:paraId="21566A64">
      <w:pPr>
        <w:bidi w:val="0"/>
        <w:ind w:left="0" w:leftChars="0" w:firstLine="1600" w:firstLineChars="500"/>
        <w:rPr>
          <w:rFonts w:hint="eastAsia"/>
          <w:color w:val="auto"/>
          <w:highlight w:val="none"/>
        </w:rPr>
      </w:pPr>
      <w:r>
        <w:rPr>
          <w:rFonts w:hint="eastAsia"/>
          <w:color w:val="auto"/>
          <w:highlight w:val="none"/>
        </w:rPr>
        <w:t>4.部门整体支出绩效评价表</w:t>
      </w:r>
    </w:p>
    <w:p w14:paraId="1EF4A6EB">
      <w:pPr>
        <w:autoSpaceDE w:val="0"/>
        <w:autoSpaceDN w:val="0"/>
        <w:adjustRightInd w:val="0"/>
        <w:snapToGrid w:val="0"/>
        <w:spacing w:line="560" w:lineRule="exact"/>
        <w:ind w:firstLine="1600" w:firstLineChars="500"/>
        <w:rPr>
          <w:rFonts w:hint="eastAsia" w:ascii="仿宋_GB2312" w:hAnsi="Times New Roman" w:eastAsia="仿宋_GB2312" w:cs="Times New Roman"/>
          <w:color w:val="auto"/>
          <w:sz w:val="32"/>
          <w:szCs w:val="32"/>
          <w:highlight w:val="none"/>
        </w:rPr>
      </w:pPr>
    </w:p>
    <w:p w14:paraId="35176BAA">
      <w:pPr>
        <w:autoSpaceDE w:val="0"/>
        <w:autoSpaceDN w:val="0"/>
        <w:adjustRightInd w:val="0"/>
        <w:snapToGrid w:val="0"/>
        <w:spacing w:line="560" w:lineRule="exact"/>
        <w:ind w:firstLine="1600" w:firstLineChars="500"/>
        <w:jc w:val="right"/>
        <w:rPr>
          <w:rFonts w:hint="eastAsia" w:ascii="仿宋_GB2312" w:hAnsi="Times New Roman" w:eastAsia="仿宋_GB2312" w:cs="Times New Roman"/>
          <w:color w:val="auto"/>
          <w:sz w:val="32"/>
          <w:szCs w:val="32"/>
          <w:highlight w:val="none"/>
        </w:rPr>
      </w:pPr>
      <w:r>
        <w:rPr>
          <w:rFonts w:hint="eastAsia" w:ascii="Times New Roman" w:hAnsi="Times New Roman" w:eastAsia="仿宋_GB2312" w:cs="Times New Roman"/>
          <w:bCs/>
          <w:color w:val="auto"/>
          <w:sz w:val="32"/>
          <w:szCs w:val="32"/>
          <w:highlight w:val="none"/>
        </w:rPr>
        <w:t>广东广财评估咨询有限公司</w:t>
      </w:r>
    </w:p>
    <w:p w14:paraId="353CA1F1">
      <w:pPr>
        <w:autoSpaceDE w:val="0"/>
        <w:autoSpaceDN w:val="0"/>
        <w:adjustRightInd w:val="0"/>
        <w:snapToGrid w:val="0"/>
        <w:spacing w:line="560" w:lineRule="exact"/>
        <w:ind w:right="160" w:firstLine="1600" w:firstLineChars="500"/>
        <w:jc w:val="right"/>
        <w:rPr>
          <w:rFonts w:ascii="Times New Roman"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202</w:t>
      </w:r>
      <w:r>
        <w:rPr>
          <w:rFonts w:hint="eastAsia" w:ascii="仿宋_GB2312" w:hAnsi="Times New Roman" w:eastAsia="仿宋_GB2312" w:cs="Times New Roman"/>
          <w:color w:val="auto"/>
          <w:sz w:val="32"/>
          <w:szCs w:val="32"/>
          <w:highlight w:val="none"/>
          <w:lang w:val="en-US" w:eastAsia="zh-CN"/>
        </w:rPr>
        <w:t>3</w:t>
      </w:r>
      <w:r>
        <w:rPr>
          <w:rFonts w:hint="eastAsia" w:ascii="仿宋_GB2312" w:hAnsi="Times New Roman" w:eastAsia="仿宋_GB2312" w:cs="Times New Roman"/>
          <w:color w:val="auto"/>
          <w:sz w:val="32"/>
          <w:szCs w:val="32"/>
          <w:highlight w:val="none"/>
        </w:rPr>
        <w:t>年</w:t>
      </w:r>
      <w:r>
        <w:rPr>
          <w:rFonts w:hint="eastAsia" w:ascii="仿宋_GB2312" w:cs="Times New Roman"/>
          <w:color w:val="auto"/>
          <w:sz w:val="32"/>
          <w:szCs w:val="32"/>
          <w:highlight w:val="none"/>
          <w:lang w:val="en-US" w:eastAsia="zh-CN"/>
        </w:rPr>
        <w:t>11</w:t>
      </w:r>
      <w:r>
        <w:rPr>
          <w:rFonts w:hint="eastAsia" w:ascii="仿宋_GB2312" w:hAnsi="Times New Roman" w:eastAsia="仿宋_GB2312" w:cs="Times New Roman"/>
          <w:color w:val="auto"/>
          <w:sz w:val="32"/>
          <w:szCs w:val="32"/>
          <w:highlight w:val="none"/>
        </w:rPr>
        <w:t>月</w:t>
      </w:r>
    </w:p>
    <w:p w14:paraId="788CC1D3">
      <w:pPr>
        <w:autoSpaceDE w:val="0"/>
        <w:autoSpaceDN w:val="0"/>
        <w:adjustRightInd w:val="0"/>
        <w:snapToGrid w:val="0"/>
        <w:spacing w:line="560" w:lineRule="exact"/>
        <w:rPr>
          <w:rFonts w:ascii="Times New Roman" w:hAnsi="Times New Roman" w:eastAsia="仿宋_GB2312" w:cs="Times New Roman"/>
          <w:color w:val="auto"/>
          <w:sz w:val="32"/>
          <w:szCs w:val="32"/>
          <w:highlight w:val="none"/>
        </w:rPr>
        <w:sectPr>
          <w:pgSz w:w="11906" w:h="16838"/>
          <w:pgMar w:top="2098" w:right="1587" w:bottom="1701" w:left="1587" w:header="0" w:footer="1247" w:gutter="0"/>
          <w:pgNumType w:fmt="decimal" w:start="1"/>
          <w:cols w:space="0" w:num="1"/>
          <w:rtlGutter w:val="0"/>
          <w:docGrid w:type="lines" w:linePitch="449" w:charSpace="0"/>
        </w:sectPr>
      </w:pPr>
    </w:p>
    <w:p w14:paraId="4459CFD3">
      <w:pPr>
        <w:spacing w:before="312" w:beforeLines="100" w:line="360" w:lineRule="auto"/>
        <w:ind w:left="0" w:leftChars="0" w:firstLine="0" w:firstLineChars="0"/>
        <w:jc w:val="left"/>
        <w:outlineLvl w:val="0"/>
        <w:rPr>
          <w:rFonts w:hint="eastAsia" w:ascii="楷体_GB2312" w:hAnsi="楷体_GB2312" w:eastAsia="楷体_GB2312" w:cs="楷体_GB2312"/>
          <w:b/>
          <w:bCs/>
          <w:color w:val="auto"/>
          <w:sz w:val="32"/>
          <w:szCs w:val="32"/>
          <w:highlight w:val="none"/>
        </w:rPr>
      </w:pPr>
      <w:bookmarkStart w:id="75" w:name="_Toc24321"/>
      <w:bookmarkStart w:id="76" w:name="_Toc10625"/>
      <w:bookmarkStart w:id="77" w:name="_Toc18198"/>
      <w:bookmarkStart w:id="78" w:name="_Toc32185"/>
      <w:bookmarkStart w:id="79" w:name="_Toc7987"/>
      <w:r>
        <w:rPr>
          <w:rFonts w:hint="eastAsia" w:ascii="楷体_GB2312" w:hAnsi="楷体_GB2312" w:eastAsia="楷体_GB2312" w:cs="楷体_GB2312"/>
          <w:b/>
          <w:bCs/>
          <w:color w:val="auto"/>
          <w:sz w:val="32"/>
          <w:szCs w:val="32"/>
          <w:highlight w:val="none"/>
        </w:rPr>
        <w:t>附件</w:t>
      </w:r>
      <w:bookmarkEnd w:id="74"/>
      <w:r>
        <w:rPr>
          <w:rFonts w:hint="eastAsia" w:ascii="楷体_GB2312" w:hAnsi="楷体_GB2312" w:eastAsia="楷体_GB2312" w:cs="楷体_GB2312"/>
          <w:b/>
          <w:bCs/>
          <w:color w:val="auto"/>
          <w:sz w:val="32"/>
          <w:szCs w:val="32"/>
          <w:highlight w:val="none"/>
        </w:rPr>
        <w:t>1：</w:t>
      </w:r>
      <w:bookmarkEnd w:id="75"/>
    </w:p>
    <w:p w14:paraId="136D5ECE">
      <w:pPr>
        <w:spacing w:before="312" w:beforeLines="100" w:line="360" w:lineRule="auto"/>
        <w:ind w:left="0" w:leftChars="0" w:firstLine="0" w:firstLineChars="0"/>
        <w:jc w:val="center"/>
        <w:outlineLvl w:val="0"/>
        <w:rPr>
          <w:rFonts w:hint="eastAsia" w:ascii="华文中宋" w:hAnsi="华文中宋" w:eastAsia="华文中宋" w:cs="Times New Roman"/>
          <w:color w:val="auto"/>
          <w:sz w:val="36"/>
          <w:szCs w:val="36"/>
          <w:highlight w:val="none"/>
        </w:rPr>
      </w:pPr>
      <w:bookmarkStart w:id="80" w:name="_Toc32196"/>
      <w:r>
        <w:rPr>
          <w:rFonts w:hint="eastAsia" w:ascii="华文中宋" w:hAnsi="华文中宋" w:eastAsia="华文中宋" w:cs="Times New Roman"/>
          <w:color w:val="auto"/>
          <w:sz w:val="36"/>
          <w:szCs w:val="36"/>
          <w:highlight w:val="none"/>
        </w:rPr>
        <w:t>部门整体支出绩效评价</w:t>
      </w:r>
      <w:bookmarkEnd w:id="76"/>
      <w:bookmarkEnd w:id="77"/>
      <w:r>
        <w:rPr>
          <w:rFonts w:hint="eastAsia" w:ascii="华文中宋" w:hAnsi="华文中宋" w:eastAsia="华文中宋" w:cs="Times New Roman"/>
          <w:color w:val="auto"/>
          <w:sz w:val="36"/>
          <w:szCs w:val="36"/>
          <w:highlight w:val="none"/>
        </w:rPr>
        <w:t>说明</w:t>
      </w:r>
      <w:bookmarkEnd w:id="78"/>
      <w:bookmarkEnd w:id="79"/>
      <w:bookmarkEnd w:id="80"/>
    </w:p>
    <w:p w14:paraId="18E1D07D">
      <w:pPr>
        <w:pStyle w:val="2"/>
        <w:bidi w:val="0"/>
        <w:rPr>
          <w:rFonts w:hint="eastAsia" w:ascii="Arial" w:hAnsi="Arial"/>
          <w:color w:val="auto"/>
          <w:highlight w:val="none"/>
        </w:rPr>
      </w:pPr>
      <w:bookmarkStart w:id="81" w:name="_Toc15871"/>
      <w:bookmarkStart w:id="82" w:name="_Toc9180"/>
      <w:bookmarkStart w:id="83" w:name="_Toc12111"/>
      <w:bookmarkStart w:id="84" w:name="_Toc21699"/>
      <w:bookmarkStart w:id="85" w:name="_Toc18485"/>
      <w:bookmarkStart w:id="86" w:name="_Toc20922"/>
      <w:bookmarkStart w:id="87" w:name="_Toc5123"/>
      <w:bookmarkStart w:id="88" w:name="_Toc31868"/>
      <w:bookmarkStart w:id="89" w:name="_Toc21432"/>
      <w:r>
        <w:rPr>
          <w:rFonts w:hint="eastAsia" w:ascii="Arial" w:hAnsi="Arial"/>
          <w:color w:val="auto"/>
          <w:highlight w:val="none"/>
        </w:rPr>
        <w:t>一、评价</w:t>
      </w:r>
      <w:bookmarkEnd w:id="81"/>
      <w:r>
        <w:rPr>
          <w:rFonts w:hint="eastAsia" w:ascii="Arial" w:hAnsi="Arial"/>
          <w:color w:val="auto"/>
          <w:highlight w:val="none"/>
        </w:rPr>
        <w:t>目的</w:t>
      </w:r>
      <w:bookmarkEnd w:id="82"/>
    </w:p>
    <w:p w14:paraId="4B155C25">
      <w:pPr>
        <w:bidi w:val="0"/>
        <w:rPr>
          <w:rFonts w:hint="eastAsia"/>
          <w:color w:val="auto"/>
          <w:highlight w:val="none"/>
        </w:rPr>
      </w:pPr>
      <w:r>
        <w:rPr>
          <w:rFonts w:hint="eastAsia"/>
          <w:color w:val="auto"/>
          <w:highlight w:val="none"/>
        </w:rPr>
        <w:t>本次评价旨在通过引入第三方机构，对</w:t>
      </w:r>
      <w:r>
        <w:rPr>
          <w:rFonts w:hint="eastAsia"/>
          <w:color w:val="auto"/>
          <w:highlight w:val="none"/>
          <w:lang w:val="en-US" w:eastAsia="zh-CN"/>
        </w:rPr>
        <w:t>2022年度梅州市梅江区西郊街道办事处资金使用情况</w:t>
      </w:r>
      <w:r>
        <w:rPr>
          <w:rFonts w:hint="eastAsia"/>
          <w:color w:val="auto"/>
          <w:highlight w:val="none"/>
        </w:rPr>
        <w:t>进行绩效评价，客观评价预算管理的科学性、透明度和财政资金支出使用效益，检验</w:t>
      </w:r>
      <w:r>
        <w:rPr>
          <w:rFonts w:hint="eastAsia"/>
          <w:color w:val="auto"/>
          <w:highlight w:val="none"/>
          <w:lang w:val="en-US" w:eastAsia="zh-CN"/>
        </w:rPr>
        <w:t>财政资金</w:t>
      </w:r>
      <w:r>
        <w:rPr>
          <w:rFonts w:hint="eastAsia"/>
          <w:color w:val="auto"/>
          <w:highlight w:val="none"/>
        </w:rPr>
        <w:t>是否达到预期目标、资金使用是否有效，为以后安排财政资金提供重要依据，进一步改进和加强</w:t>
      </w:r>
      <w:r>
        <w:rPr>
          <w:rFonts w:hint="eastAsia"/>
          <w:color w:val="auto"/>
          <w:highlight w:val="none"/>
          <w:lang w:eastAsia="zh-CN"/>
        </w:rPr>
        <w:t>梅州市梅江区</w:t>
      </w:r>
      <w:r>
        <w:rPr>
          <w:rFonts w:hint="eastAsia"/>
          <w:color w:val="auto"/>
          <w:highlight w:val="none"/>
        </w:rPr>
        <w:t>财政资金使用效益。</w:t>
      </w:r>
    </w:p>
    <w:p w14:paraId="76093AA5">
      <w:pPr>
        <w:pStyle w:val="2"/>
        <w:bidi w:val="0"/>
        <w:rPr>
          <w:rFonts w:hint="eastAsia" w:ascii="Arial" w:hAnsi="Arial"/>
          <w:color w:val="auto"/>
          <w:highlight w:val="none"/>
          <w:lang w:val="en-US" w:eastAsia="zh-CN"/>
        </w:rPr>
      </w:pPr>
      <w:bookmarkStart w:id="90" w:name="_Toc6879"/>
      <w:bookmarkStart w:id="91" w:name="_Toc8714"/>
      <w:bookmarkStart w:id="92" w:name="_Toc16318"/>
      <w:bookmarkStart w:id="93" w:name="_Toc9709"/>
      <w:bookmarkStart w:id="94" w:name="_Toc9837"/>
      <w:bookmarkStart w:id="95" w:name="_Toc20387"/>
      <w:bookmarkStart w:id="96" w:name="_Toc31589"/>
      <w:r>
        <w:rPr>
          <w:rFonts w:hint="eastAsia" w:ascii="Arial" w:hAnsi="Arial"/>
          <w:color w:val="auto"/>
          <w:highlight w:val="none"/>
        </w:rPr>
        <w:t>二、</w:t>
      </w:r>
      <w:r>
        <w:rPr>
          <w:rFonts w:hint="eastAsia" w:ascii="Arial" w:hAnsi="Arial"/>
          <w:color w:val="auto"/>
          <w:highlight w:val="none"/>
          <w:lang w:val="en-US" w:eastAsia="zh-CN"/>
        </w:rPr>
        <w:t>评价对象</w:t>
      </w:r>
      <w:bookmarkEnd w:id="90"/>
      <w:r>
        <w:rPr>
          <w:rFonts w:hint="eastAsia"/>
          <w:color w:val="auto"/>
          <w:highlight w:val="none"/>
        </w:rPr>
        <w:t>及范围</w:t>
      </w:r>
    </w:p>
    <w:p w14:paraId="67427D32">
      <w:pPr>
        <w:bidi w:val="0"/>
        <w:rPr>
          <w:rFonts w:hint="default"/>
          <w:color w:val="auto"/>
          <w:highlight w:val="none"/>
          <w:lang w:val="en-US" w:eastAsia="zh-CN"/>
        </w:rPr>
      </w:pPr>
      <w:r>
        <w:rPr>
          <w:rFonts w:hint="eastAsia"/>
          <w:color w:val="auto"/>
          <w:highlight w:val="none"/>
          <w:lang w:val="en-US" w:eastAsia="zh-CN"/>
        </w:rPr>
        <w:t>评价对象为2022年度梅州市梅江区西郊街道办事处（含内部机构及所属事业单位）的部门整体财政支出及相关职责履行情况，涵盖部门整体预算支出（含基本支出和项目支出）、事业发展性支出（含专项资金、其他事业发展性支出）。</w:t>
      </w:r>
    </w:p>
    <w:p w14:paraId="346979B9">
      <w:pPr>
        <w:bidi w:val="0"/>
        <w:rPr>
          <w:rFonts w:hint="default"/>
          <w:color w:val="auto"/>
          <w:highlight w:val="none"/>
          <w:lang w:val="en-US" w:eastAsia="zh-CN"/>
        </w:rPr>
      </w:pPr>
      <w:r>
        <w:rPr>
          <w:rFonts w:hint="eastAsia"/>
          <w:color w:val="auto"/>
          <w:highlight w:val="none"/>
          <w:lang w:val="en-US" w:eastAsia="zh-CN"/>
        </w:rPr>
        <w:t>部门整体</w:t>
      </w:r>
      <w:r>
        <w:rPr>
          <w:rFonts w:hint="default"/>
          <w:color w:val="auto"/>
          <w:highlight w:val="none"/>
          <w:lang w:val="en-US" w:eastAsia="zh-CN"/>
        </w:rPr>
        <w:t>评价</w:t>
      </w:r>
      <w:r>
        <w:rPr>
          <w:rFonts w:hint="eastAsia"/>
          <w:color w:val="auto"/>
          <w:highlight w:val="none"/>
          <w:lang w:val="en-US" w:eastAsia="zh-CN"/>
        </w:rPr>
        <w:t>的时间范围</w:t>
      </w:r>
      <w:r>
        <w:rPr>
          <w:rFonts w:hint="default"/>
          <w:color w:val="auto"/>
          <w:highlight w:val="none"/>
          <w:lang w:val="en-US" w:eastAsia="zh-CN"/>
        </w:rPr>
        <w:t>为</w:t>
      </w:r>
      <w:r>
        <w:rPr>
          <w:rFonts w:hint="eastAsia"/>
          <w:color w:val="auto"/>
          <w:highlight w:val="none"/>
          <w:lang w:val="en-US" w:eastAsia="zh-CN"/>
        </w:rPr>
        <w:t>2022年1月1日到</w:t>
      </w:r>
      <w:r>
        <w:rPr>
          <w:rFonts w:hint="default"/>
          <w:color w:val="auto"/>
          <w:highlight w:val="none"/>
          <w:lang w:val="en-US" w:eastAsia="zh-CN"/>
        </w:rPr>
        <w:t>2022年12月31日</w:t>
      </w:r>
      <w:r>
        <w:rPr>
          <w:rFonts w:hint="eastAsia"/>
          <w:color w:val="auto"/>
          <w:highlight w:val="none"/>
          <w:lang w:val="en-US" w:eastAsia="zh-CN"/>
        </w:rPr>
        <w:t>。</w:t>
      </w:r>
    </w:p>
    <w:p w14:paraId="4EE79A76">
      <w:pPr>
        <w:pStyle w:val="2"/>
        <w:bidi w:val="0"/>
        <w:rPr>
          <w:rFonts w:hint="eastAsia" w:ascii="Arial" w:hAnsi="Arial"/>
          <w:color w:val="auto"/>
          <w:highlight w:val="none"/>
        </w:rPr>
      </w:pPr>
      <w:bookmarkStart w:id="97" w:name="_Toc26785"/>
      <w:r>
        <w:rPr>
          <w:rFonts w:hint="eastAsia" w:ascii="Arial" w:hAnsi="Arial"/>
          <w:color w:val="auto"/>
          <w:highlight w:val="none"/>
          <w:lang w:val="en-US" w:eastAsia="zh-CN"/>
        </w:rPr>
        <w:t>三、</w:t>
      </w:r>
      <w:r>
        <w:rPr>
          <w:rFonts w:hint="eastAsia" w:ascii="Arial" w:hAnsi="Arial"/>
          <w:color w:val="auto"/>
          <w:highlight w:val="none"/>
        </w:rPr>
        <w:t>评价依</w:t>
      </w:r>
      <w:bookmarkEnd w:id="91"/>
      <w:bookmarkEnd w:id="92"/>
      <w:bookmarkEnd w:id="93"/>
      <w:bookmarkEnd w:id="94"/>
      <w:bookmarkEnd w:id="95"/>
      <w:bookmarkEnd w:id="96"/>
      <w:r>
        <w:rPr>
          <w:rFonts w:hint="eastAsia" w:ascii="Arial" w:hAnsi="Arial"/>
          <w:color w:val="auto"/>
          <w:highlight w:val="none"/>
        </w:rPr>
        <w:t>据</w:t>
      </w:r>
      <w:bookmarkEnd w:id="83"/>
      <w:bookmarkEnd w:id="84"/>
      <w:bookmarkEnd w:id="85"/>
      <w:bookmarkEnd w:id="97"/>
      <w:bookmarkStart w:id="98" w:name="_Toc1545"/>
      <w:bookmarkStart w:id="99" w:name="_Toc7379"/>
      <w:bookmarkStart w:id="100" w:name="_Toc30407"/>
      <w:bookmarkStart w:id="101" w:name="_Toc7667"/>
      <w:bookmarkStart w:id="102" w:name="_Toc7860"/>
      <w:bookmarkStart w:id="103" w:name="_Toc18685"/>
    </w:p>
    <w:p w14:paraId="11C16F63">
      <w:pPr>
        <w:bidi w:val="0"/>
        <w:rPr>
          <w:rFonts w:hint="eastAsia"/>
          <w:color w:val="auto"/>
          <w:highlight w:val="none"/>
          <w:lang w:val="en-US" w:eastAsia="zh-CN"/>
        </w:rPr>
      </w:pPr>
      <w:r>
        <w:rPr>
          <w:rFonts w:hint="eastAsia"/>
          <w:color w:val="auto"/>
          <w:highlight w:val="none"/>
          <w:lang w:val="en-US" w:eastAsia="zh-CN"/>
        </w:rPr>
        <w:t>1、《中华人民共和国预算法》；</w:t>
      </w:r>
    </w:p>
    <w:p w14:paraId="07BE6C0B">
      <w:pPr>
        <w:bidi w:val="0"/>
        <w:rPr>
          <w:rFonts w:hint="eastAsia"/>
          <w:color w:val="auto"/>
          <w:highlight w:val="none"/>
          <w:lang w:val="en-US" w:eastAsia="zh-CN"/>
        </w:rPr>
      </w:pPr>
      <w:r>
        <w:rPr>
          <w:rFonts w:hint="eastAsia"/>
          <w:color w:val="auto"/>
          <w:highlight w:val="none"/>
          <w:lang w:val="en-US" w:eastAsia="zh-CN"/>
        </w:rPr>
        <w:t>2、《中华人民共和国预算法实施条例》；</w:t>
      </w:r>
    </w:p>
    <w:p w14:paraId="7D5E4AF9">
      <w:pPr>
        <w:bidi w:val="0"/>
        <w:rPr>
          <w:rFonts w:hint="eastAsia"/>
          <w:color w:val="auto"/>
          <w:highlight w:val="none"/>
          <w:lang w:val="en-US" w:eastAsia="zh-CN"/>
        </w:rPr>
      </w:pPr>
      <w:r>
        <w:rPr>
          <w:rFonts w:hint="eastAsia"/>
          <w:color w:val="auto"/>
          <w:highlight w:val="none"/>
          <w:lang w:val="en-US" w:eastAsia="zh-CN"/>
        </w:rPr>
        <w:t>3、《中共中央国务院关于全面实施预算绩效管理的意见》（中发〔2018〕34号）；</w:t>
      </w:r>
    </w:p>
    <w:p w14:paraId="10D54CDE">
      <w:pPr>
        <w:bidi w:val="0"/>
        <w:rPr>
          <w:rFonts w:hint="eastAsia"/>
          <w:color w:val="auto"/>
          <w:highlight w:val="none"/>
          <w:lang w:val="en-US" w:eastAsia="zh-CN"/>
        </w:rPr>
      </w:pPr>
      <w:r>
        <w:rPr>
          <w:rFonts w:hint="eastAsia"/>
          <w:color w:val="auto"/>
          <w:highlight w:val="none"/>
          <w:lang w:val="en-US" w:eastAsia="zh-CN"/>
        </w:rPr>
        <w:t>4、《关于印发&lt;项目支出绩效评价管理办法&gt;的通知》（财预〔2020〕10号）；</w:t>
      </w:r>
    </w:p>
    <w:p w14:paraId="6447A858">
      <w:pPr>
        <w:bidi w:val="0"/>
        <w:rPr>
          <w:rFonts w:hint="eastAsia"/>
          <w:color w:val="auto"/>
          <w:highlight w:val="none"/>
          <w:lang w:val="en-US" w:eastAsia="zh-CN"/>
        </w:rPr>
      </w:pPr>
      <w:r>
        <w:rPr>
          <w:rFonts w:hint="eastAsia"/>
          <w:color w:val="auto"/>
          <w:highlight w:val="none"/>
          <w:lang w:val="en-US" w:eastAsia="zh-CN"/>
        </w:rPr>
        <w:t>5、《关于规范绩效评价结果等级划分标准的通知》（财预便〔2017〕44号）；</w:t>
      </w:r>
    </w:p>
    <w:p w14:paraId="04049766">
      <w:pPr>
        <w:bidi w:val="0"/>
        <w:rPr>
          <w:rFonts w:hint="eastAsia"/>
          <w:color w:val="auto"/>
          <w:highlight w:val="none"/>
          <w:lang w:val="en-US" w:eastAsia="zh-CN"/>
        </w:rPr>
      </w:pPr>
      <w:r>
        <w:rPr>
          <w:rFonts w:hint="eastAsia"/>
          <w:color w:val="auto"/>
          <w:highlight w:val="none"/>
          <w:lang w:val="en-US" w:eastAsia="zh-CN"/>
        </w:rPr>
        <w:t>6、关于印发《广东省省级财政预算绩效目标管理办法（试行）》的通知（粤财绩〔2019〕11号）《中共广东省委广东省人民政府关于全面实施预算绩效管理的若干意见》（粤发〔2019〕5号）；</w:t>
      </w:r>
    </w:p>
    <w:p w14:paraId="24D6FC15">
      <w:pPr>
        <w:bidi w:val="0"/>
        <w:rPr>
          <w:rFonts w:hint="eastAsia"/>
          <w:color w:val="auto"/>
          <w:highlight w:val="none"/>
          <w:lang w:val="en-US" w:eastAsia="zh-CN"/>
        </w:rPr>
      </w:pPr>
      <w:r>
        <w:rPr>
          <w:rFonts w:hint="eastAsia"/>
          <w:color w:val="auto"/>
          <w:highlight w:val="none"/>
          <w:lang w:val="en-US" w:eastAsia="zh-CN"/>
        </w:rPr>
        <w:t>7、《广东省财政厅关于印发&lt;广东省省级财政绩效评价指南&gt;的通知&gt;》（粤财绩〔2021〕1号）；</w:t>
      </w:r>
    </w:p>
    <w:p w14:paraId="29C763E3">
      <w:pPr>
        <w:bidi w:val="0"/>
        <w:rPr>
          <w:rFonts w:hint="eastAsia"/>
          <w:color w:val="auto"/>
          <w:highlight w:val="none"/>
          <w:lang w:val="en-US" w:eastAsia="zh-CN"/>
        </w:rPr>
      </w:pPr>
      <w:r>
        <w:rPr>
          <w:rFonts w:hint="eastAsia"/>
          <w:color w:val="auto"/>
          <w:highlight w:val="none"/>
          <w:lang w:val="en-US" w:eastAsia="zh-CN"/>
        </w:rPr>
        <w:t>8、适用于本次评价的其他法律法规及规章制度；</w:t>
      </w:r>
    </w:p>
    <w:p w14:paraId="0D4C48FF">
      <w:pPr>
        <w:bidi w:val="0"/>
        <w:rPr>
          <w:rFonts w:hint="default"/>
          <w:color w:val="auto"/>
          <w:highlight w:val="none"/>
          <w:lang w:val="en-US" w:eastAsia="zh-CN"/>
        </w:rPr>
      </w:pPr>
      <w:r>
        <w:rPr>
          <w:rFonts w:hint="eastAsia"/>
          <w:color w:val="auto"/>
          <w:highlight w:val="none"/>
          <w:lang w:val="en-US" w:eastAsia="zh-CN"/>
        </w:rPr>
        <w:t>9、资金使用单位提供的自评资料及相关佐证。</w:t>
      </w:r>
    </w:p>
    <w:p w14:paraId="2F25D517">
      <w:pPr>
        <w:pStyle w:val="2"/>
        <w:bidi w:val="0"/>
        <w:rPr>
          <w:rFonts w:hint="eastAsia" w:ascii="Arial" w:hAnsi="Arial"/>
          <w:color w:val="auto"/>
          <w:highlight w:val="none"/>
        </w:rPr>
      </w:pPr>
      <w:bookmarkStart w:id="104" w:name="_Toc23271"/>
      <w:r>
        <w:rPr>
          <w:rFonts w:hint="eastAsia" w:ascii="Arial" w:hAnsi="Arial"/>
          <w:color w:val="auto"/>
          <w:highlight w:val="none"/>
          <w:lang w:val="en-US" w:eastAsia="zh-CN"/>
        </w:rPr>
        <w:t>四</w:t>
      </w:r>
      <w:r>
        <w:rPr>
          <w:rFonts w:hint="eastAsia" w:ascii="Arial" w:hAnsi="Arial"/>
          <w:color w:val="auto"/>
          <w:highlight w:val="none"/>
        </w:rPr>
        <w:t>、评价内容</w:t>
      </w:r>
      <w:bookmarkEnd w:id="98"/>
      <w:bookmarkEnd w:id="99"/>
      <w:bookmarkEnd w:id="100"/>
      <w:bookmarkEnd w:id="101"/>
      <w:bookmarkEnd w:id="102"/>
      <w:bookmarkEnd w:id="103"/>
      <w:bookmarkEnd w:id="104"/>
    </w:p>
    <w:p w14:paraId="08CEEC7D">
      <w:pPr>
        <w:bidi w:val="0"/>
        <w:rPr>
          <w:rFonts w:hint="eastAsia"/>
          <w:color w:val="auto"/>
          <w:highlight w:val="none"/>
        </w:rPr>
      </w:pPr>
      <w:r>
        <w:rPr>
          <w:rFonts w:hint="eastAsia"/>
          <w:color w:val="auto"/>
          <w:highlight w:val="none"/>
        </w:rPr>
        <w:t>主要从预算编制情况、预算执行情况、资金使用效益三个维度综合反映支出的配置效用、管理效能和资金效益。</w:t>
      </w:r>
    </w:p>
    <w:p w14:paraId="4D16E0C0">
      <w:pPr>
        <w:bidi w:val="0"/>
        <w:rPr>
          <w:rFonts w:hint="eastAsia"/>
          <w:color w:val="auto"/>
          <w:highlight w:val="none"/>
        </w:rPr>
      </w:pPr>
      <w:r>
        <w:rPr>
          <w:rFonts w:hint="eastAsia"/>
          <w:b/>
          <w:bCs/>
          <w:color w:val="auto"/>
          <w:highlight w:val="none"/>
        </w:rPr>
        <w:t>1</w:t>
      </w:r>
      <w:r>
        <w:rPr>
          <w:rFonts w:hint="eastAsia"/>
          <w:b/>
          <w:bCs/>
          <w:color w:val="auto"/>
          <w:highlight w:val="none"/>
          <w:lang w:eastAsia="zh-CN"/>
        </w:rPr>
        <w:t>、</w:t>
      </w:r>
      <w:r>
        <w:rPr>
          <w:rFonts w:hint="eastAsia"/>
          <w:b/>
          <w:bCs/>
          <w:color w:val="auto"/>
          <w:highlight w:val="none"/>
        </w:rPr>
        <w:t>部门支出的配置效用。</w:t>
      </w:r>
      <w:r>
        <w:rPr>
          <w:rFonts w:hint="eastAsia"/>
          <w:color w:val="auto"/>
          <w:highlight w:val="none"/>
        </w:rPr>
        <w:t>着重对资金安排与部门履职的匹配情况，项目支出及其绩效目标设置的合理性、科学性进行分析，评价部门的预算配置效用，是否立足于履行职能，围绕更好地贯彻落实中央、省委省政府、市委市政府、区委区政府决策部署工作要求来申请和使用预算资金。</w:t>
      </w:r>
    </w:p>
    <w:p w14:paraId="37DB8171">
      <w:pPr>
        <w:bidi w:val="0"/>
        <w:rPr>
          <w:rFonts w:hint="eastAsia"/>
          <w:color w:val="auto"/>
          <w:highlight w:val="none"/>
        </w:rPr>
      </w:pPr>
    </w:p>
    <w:p w14:paraId="50409A9F">
      <w:pPr>
        <w:bidi w:val="0"/>
        <w:rPr>
          <w:rFonts w:hint="eastAsia"/>
          <w:color w:val="auto"/>
          <w:highlight w:val="none"/>
        </w:rPr>
      </w:pPr>
      <w:r>
        <w:rPr>
          <w:rFonts w:hint="eastAsia"/>
          <w:b/>
          <w:bCs/>
          <w:color w:val="auto"/>
          <w:highlight w:val="none"/>
        </w:rPr>
        <w:t>2</w:t>
      </w:r>
      <w:r>
        <w:rPr>
          <w:rFonts w:hint="eastAsia"/>
          <w:b/>
          <w:bCs/>
          <w:color w:val="auto"/>
          <w:highlight w:val="none"/>
          <w:lang w:eastAsia="zh-CN"/>
        </w:rPr>
        <w:t>、</w:t>
      </w:r>
      <w:r>
        <w:rPr>
          <w:rFonts w:hint="eastAsia"/>
          <w:b/>
          <w:bCs/>
          <w:color w:val="auto"/>
          <w:highlight w:val="none"/>
        </w:rPr>
        <w:t>部门支出的管理效能。</w:t>
      </w:r>
      <w:r>
        <w:rPr>
          <w:rFonts w:hint="eastAsia"/>
          <w:color w:val="auto"/>
          <w:highlight w:val="none"/>
        </w:rPr>
        <w:t>着重对资金、项目、资产的管理情况进行分析，评价部门支出管理的合规性、及时性、效益性，主要包括上级专项资金分配的及时性、政府采购执行率、预决算信息公开、项目实施程序及监管、资产收益上缴以及落实过紧日子措施情况等。</w:t>
      </w:r>
    </w:p>
    <w:p w14:paraId="6791DF75">
      <w:pPr>
        <w:bidi w:val="0"/>
        <w:rPr>
          <w:rFonts w:hint="eastAsia"/>
          <w:b/>
          <w:bCs/>
          <w:color w:val="auto"/>
          <w:highlight w:val="none"/>
        </w:rPr>
      </w:pPr>
    </w:p>
    <w:p w14:paraId="3A3D8A1A">
      <w:pPr>
        <w:bidi w:val="0"/>
        <w:rPr>
          <w:rFonts w:hint="eastAsia"/>
          <w:color w:val="auto"/>
          <w:highlight w:val="none"/>
        </w:rPr>
      </w:pPr>
      <w:r>
        <w:rPr>
          <w:rFonts w:hint="eastAsia"/>
          <w:b/>
          <w:bCs/>
          <w:color w:val="auto"/>
          <w:highlight w:val="none"/>
        </w:rPr>
        <w:t>3</w:t>
      </w:r>
      <w:r>
        <w:rPr>
          <w:rFonts w:hint="eastAsia"/>
          <w:b/>
          <w:bCs/>
          <w:color w:val="auto"/>
          <w:highlight w:val="none"/>
          <w:lang w:eastAsia="zh-CN"/>
        </w:rPr>
        <w:t>、</w:t>
      </w:r>
      <w:r>
        <w:rPr>
          <w:rFonts w:hint="eastAsia"/>
          <w:b/>
          <w:bCs/>
          <w:color w:val="auto"/>
          <w:highlight w:val="none"/>
        </w:rPr>
        <w:t>部门支出的资金效益。</w:t>
      </w:r>
      <w:r>
        <w:rPr>
          <w:rFonts w:hint="eastAsia"/>
          <w:color w:val="auto"/>
          <w:highlight w:val="none"/>
        </w:rPr>
        <w:t>着重对运行成本和绩效目标的完成情况进行分析，综合评价部门在使用财政资金落实中央、省委省政府政策部署和市委市政府、区委区政府工作要求、落实中长期规划相关目标、以及《政府工作报告》重点督察任务的完成情况。</w:t>
      </w:r>
    </w:p>
    <w:p w14:paraId="23C9AB76">
      <w:pPr>
        <w:pStyle w:val="2"/>
        <w:bidi w:val="0"/>
        <w:rPr>
          <w:rFonts w:hint="eastAsia" w:ascii="Arial" w:hAnsi="Arial"/>
          <w:color w:val="auto"/>
          <w:highlight w:val="none"/>
        </w:rPr>
      </w:pPr>
      <w:bookmarkStart w:id="105" w:name="_Toc21924"/>
      <w:r>
        <w:rPr>
          <w:rFonts w:hint="eastAsia" w:ascii="Arial" w:hAnsi="Arial"/>
          <w:color w:val="auto"/>
          <w:highlight w:val="none"/>
          <w:lang w:val="en-US" w:eastAsia="zh-CN"/>
        </w:rPr>
        <w:t>五</w:t>
      </w:r>
      <w:r>
        <w:rPr>
          <w:rFonts w:hint="eastAsia" w:ascii="Arial" w:hAnsi="Arial"/>
          <w:color w:val="auto"/>
          <w:highlight w:val="none"/>
        </w:rPr>
        <w:t>、评价方法</w:t>
      </w:r>
      <w:bookmarkEnd w:id="105"/>
    </w:p>
    <w:p w14:paraId="535A4726">
      <w:pPr>
        <w:spacing w:line="560" w:lineRule="exact"/>
        <w:ind w:firstLine="640" w:firstLineChars="200"/>
        <w:rPr>
          <w:rFonts w:hint="eastAsia" w:ascii="Times New Roman" w:hAnsi="Times New Roman" w:eastAsia="仿宋_GB2312" w:cs="Calibri"/>
          <w:color w:val="auto"/>
          <w:sz w:val="32"/>
          <w:szCs w:val="21"/>
          <w:highlight w:val="none"/>
          <w:lang w:val="en-US" w:eastAsia="zh-CN"/>
        </w:rPr>
      </w:pPr>
      <w:r>
        <w:rPr>
          <w:rFonts w:hint="eastAsia" w:ascii="Times New Roman" w:hAnsi="Times New Roman" w:eastAsia="仿宋_GB2312" w:cs="Calibri"/>
          <w:color w:val="auto"/>
          <w:sz w:val="32"/>
          <w:szCs w:val="21"/>
          <w:highlight w:val="none"/>
          <w:lang w:val="en-US" w:eastAsia="zh-CN"/>
        </w:rPr>
        <w:t>采用定性与定量相结合的方式，主要采用五种评价方法，分别为成本效益分析法、比较法、因素分析法、最低成本法、公众评判法等。</w:t>
      </w:r>
    </w:p>
    <w:p w14:paraId="2E0ABA0B">
      <w:pPr>
        <w:spacing w:line="560" w:lineRule="exact"/>
        <w:ind w:firstLine="640" w:firstLineChars="200"/>
        <w:rPr>
          <w:rFonts w:hint="eastAsia" w:ascii="Times New Roman" w:hAnsi="Times New Roman" w:eastAsia="仿宋_GB2312" w:cs="Calibri"/>
          <w:color w:val="auto"/>
          <w:sz w:val="32"/>
          <w:szCs w:val="21"/>
          <w:highlight w:val="none"/>
          <w:lang w:val="en-US" w:eastAsia="zh-CN"/>
        </w:rPr>
      </w:pPr>
      <w:r>
        <w:rPr>
          <w:rFonts w:hint="eastAsia" w:ascii="Times New Roman" w:hAnsi="Times New Roman" w:eastAsia="仿宋_GB2312" w:cs="Calibri"/>
          <w:color w:val="auto"/>
          <w:sz w:val="32"/>
          <w:szCs w:val="21"/>
          <w:highlight w:val="none"/>
          <w:lang w:val="en-US" w:eastAsia="zh-CN"/>
        </w:rPr>
        <w:t>（一）成本效益分析法。是指将投入与产出、效益进行关联性分析的方法。</w:t>
      </w:r>
    </w:p>
    <w:p w14:paraId="1DBBD3DF">
      <w:pPr>
        <w:spacing w:line="560" w:lineRule="exact"/>
        <w:ind w:firstLine="640" w:firstLineChars="200"/>
        <w:rPr>
          <w:rFonts w:hint="eastAsia" w:ascii="Times New Roman" w:hAnsi="Times New Roman" w:eastAsia="仿宋_GB2312" w:cs="Calibri"/>
          <w:color w:val="auto"/>
          <w:sz w:val="32"/>
          <w:szCs w:val="21"/>
          <w:highlight w:val="none"/>
          <w:lang w:val="en-US" w:eastAsia="zh-CN"/>
        </w:rPr>
      </w:pPr>
      <w:r>
        <w:rPr>
          <w:rFonts w:hint="eastAsia" w:ascii="Times New Roman" w:hAnsi="Times New Roman" w:eastAsia="仿宋_GB2312" w:cs="Calibri"/>
          <w:color w:val="auto"/>
          <w:sz w:val="32"/>
          <w:szCs w:val="21"/>
          <w:highlight w:val="none"/>
          <w:lang w:val="en-US" w:eastAsia="zh-CN"/>
        </w:rPr>
        <w:t>（二）比较法。是指将实施情况与绩效目标、历史情况、不同部门和地区同类支出情况进行比较的方法。</w:t>
      </w:r>
    </w:p>
    <w:p w14:paraId="24A55EB1">
      <w:pPr>
        <w:spacing w:line="560" w:lineRule="exact"/>
        <w:ind w:firstLine="640" w:firstLineChars="200"/>
        <w:rPr>
          <w:rFonts w:hint="eastAsia" w:ascii="Times New Roman" w:hAnsi="Times New Roman" w:eastAsia="仿宋_GB2312" w:cs="Calibri"/>
          <w:color w:val="auto"/>
          <w:sz w:val="32"/>
          <w:szCs w:val="21"/>
          <w:highlight w:val="none"/>
          <w:lang w:val="en-US" w:eastAsia="zh-CN"/>
        </w:rPr>
      </w:pPr>
      <w:r>
        <w:rPr>
          <w:rFonts w:hint="eastAsia" w:ascii="Times New Roman" w:hAnsi="Times New Roman" w:eastAsia="仿宋_GB2312" w:cs="Calibri"/>
          <w:color w:val="auto"/>
          <w:sz w:val="32"/>
          <w:szCs w:val="21"/>
          <w:highlight w:val="none"/>
          <w:lang w:val="en-US" w:eastAsia="zh-CN"/>
        </w:rPr>
        <w:t>（三）因素分析法。是指综合分析影响绩效目标实现、实施效果的内外部因素的方法。</w:t>
      </w:r>
    </w:p>
    <w:p w14:paraId="4EDE036E">
      <w:pPr>
        <w:spacing w:line="560" w:lineRule="exact"/>
        <w:ind w:firstLine="640" w:firstLineChars="200"/>
        <w:rPr>
          <w:rFonts w:hint="eastAsia" w:ascii="Times New Roman" w:hAnsi="Times New Roman" w:eastAsia="仿宋_GB2312" w:cs="Calibri"/>
          <w:color w:val="auto"/>
          <w:sz w:val="32"/>
          <w:szCs w:val="21"/>
          <w:highlight w:val="none"/>
          <w:lang w:val="en-US" w:eastAsia="zh-CN"/>
        </w:rPr>
      </w:pPr>
      <w:r>
        <w:rPr>
          <w:rFonts w:hint="eastAsia" w:ascii="Times New Roman" w:hAnsi="Times New Roman" w:eastAsia="仿宋_GB2312" w:cs="Calibri"/>
          <w:color w:val="auto"/>
          <w:sz w:val="32"/>
          <w:szCs w:val="21"/>
          <w:highlight w:val="none"/>
          <w:lang w:val="en-US" w:eastAsia="zh-CN"/>
        </w:rPr>
        <w:t>（四）最低成本法。是指在绩效目标确定的前提下，成本最小者为优的方法。</w:t>
      </w:r>
    </w:p>
    <w:p w14:paraId="4ADF2482">
      <w:pPr>
        <w:bidi w:val="0"/>
        <w:rPr>
          <w:rFonts w:hint="eastAsia" w:ascii="Times New Roman" w:hAnsi="Times New Roman" w:eastAsia="仿宋_GB2312" w:cs="Calibri"/>
          <w:color w:val="auto"/>
          <w:sz w:val="32"/>
          <w:szCs w:val="21"/>
          <w:highlight w:val="none"/>
          <w:lang w:val="en-US" w:eastAsia="zh-CN"/>
        </w:rPr>
      </w:pPr>
      <w:r>
        <w:rPr>
          <w:rFonts w:hint="eastAsia" w:ascii="Times New Roman" w:hAnsi="Times New Roman" w:eastAsia="仿宋_GB2312" w:cs="Calibri"/>
          <w:color w:val="auto"/>
          <w:sz w:val="32"/>
          <w:szCs w:val="21"/>
          <w:highlight w:val="none"/>
          <w:lang w:val="en-US" w:eastAsia="zh-CN"/>
        </w:rPr>
        <w:t>（五）公众评判法。是指通过专家评估、公众问卷及抽样调查等方式进行评判的方法。</w:t>
      </w:r>
    </w:p>
    <w:p w14:paraId="0925EECD">
      <w:pPr>
        <w:bidi w:val="0"/>
        <w:rPr>
          <w:rFonts w:hint="eastAsia"/>
          <w:color w:val="auto"/>
          <w:highlight w:val="none"/>
        </w:rPr>
      </w:pPr>
    </w:p>
    <w:p w14:paraId="4BAED079">
      <w:pPr>
        <w:pStyle w:val="2"/>
        <w:bidi w:val="0"/>
        <w:rPr>
          <w:rFonts w:hint="eastAsia" w:ascii="Arial" w:hAnsi="Arial"/>
          <w:color w:val="auto"/>
          <w:highlight w:val="none"/>
        </w:rPr>
      </w:pPr>
      <w:bookmarkStart w:id="106" w:name="_Toc1073"/>
      <w:r>
        <w:rPr>
          <w:rFonts w:hint="eastAsia" w:ascii="Arial" w:hAnsi="Arial"/>
          <w:color w:val="auto"/>
          <w:highlight w:val="none"/>
          <w:lang w:val="en-US" w:eastAsia="zh-CN"/>
        </w:rPr>
        <w:t>六</w:t>
      </w:r>
      <w:r>
        <w:rPr>
          <w:rFonts w:hint="eastAsia" w:ascii="Arial" w:hAnsi="Arial"/>
          <w:color w:val="auto"/>
          <w:highlight w:val="none"/>
        </w:rPr>
        <w:t>、评价</w:t>
      </w:r>
      <w:bookmarkEnd w:id="86"/>
      <w:bookmarkEnd w:id="87"/>
      <w:bookmarkEnd w:id="88"/>
      <w:bookmarkEnd w:id="89"/>
      <w:r>
        <w:rPr>
          <w:rFonts w:hint="eastAsia" w:ascii="Arial" w:hAnsi="Arial"/>
          <w:color w:val="auto"/>
          <w:highlight w:val="none"/>
        </w:rPr>
        <w:t>体系</w:t>
      </w:r>
      <w:bookmarkEnd w:id="106"/>
    </w:p>
    <w:p w14:paraId="436612BD">
      <w:pPr>
        <w:pStyle w:val="4"/>
        <w:bidi w:val="0"/>
        <w:rPr>
          <w:rFonts w:hint="eastAsia"/>
          <w:color w:val="auto"/>
          <w:highlight w:val="none"/>
        </w:rPr>
      </w:pPr>
      <w:bookmarkStart w:id="107" w:name="_Toc8682"/>
      <w:r>
        <w:rPr>
          <w:rFonts w:hint="eastAsia"/>
          <w:color w:val="auto"/>
          <w:highlight w:val="none"/>
        </w:rPr>
        <w:t>（一）绩效评价指标体系</w:t>
      </w:r>
      <w:bookmarkEnd w:id="107"/>
    </w:p>
    <w:p w14:paraId="5C2E4D5B">
      <w:pPr>
        <w:ind w:firstLine="640" w:firstLineChars="200"/>
        <w:rPr>
          <w:rFonts w:hint="default" w:ascii="华文仿宋" w:hAnsi="华文仿宋" w:eastAsia="楷体_GB2312" w:cs="华文仿宋"/>
          <w:b/>
          <w:bCs/>
          <w:color w:val="auto"/>
          <w:sz w:val="28"/>
          <w:szCs w:val="28"/>
          <w:highlight w:val="none"/>
          <w:lang w:val="en-US" w:eastAsia="zh-CN"/>
        </w:rPr>
      </w:pPr>
      <w:r>
        <w:rPr>
          <w:rFonts w:hint="eastAsia"/>
          <w:color w:val="auto"/>
          <w:highlight w:val="none"/>
        </w:rPr>
        <w:t>遵循广东省财政厅设计财政资金使用绩效评价指标体系的原理、基本指标和原则，综合考虑共性指标和个性指标，设计基础信息表、绩效指标体系</w:t>
      </w:r>
      <w:r>
        <w:rPr>
          <w:rFonts w:hint="eastAsia"/>
          <w:color w:val="auto"/>
          <w:highlight w:val="none"/>
          <w:lang w:val="en-US" w:eastAsia="zh-CN"/>
        </w:rPr>
        <w:t>。</w:t>
      </w:r>
    </w:p>
    <w:p w14:paraId="658E9E9A">
      <w:pPr>
        <w:pStyle w:val="4"/>
        <w:bidi w:val="0"/>
        <w:rPr>
          <w:rFonts w:hint="eastAsia"/>
          <w:color w:val="auto"/>
          <w:highlight w:val="none"/>
        </w:rPr>
      </w:pPr>
      <w:bookmarkStart w:id="108" w:name="_Toc31633"/>
      <w:r>
        <w:rPr>
          <w:rFonts w:hint="eastAsia"/>
          <w:color w:val="auto"/>
          <w:highlight w:val="none"/>
        </w:rPr>
        <w:t>（二）绩效等级</w:t>
      </w:r>
      <w:bookmarkEnd w:id="108"/>
    </w:p>
    <w:p w14:paraId="4B1F0CA3">
      <w:pPr>
        <w:bidi w:val="0"/>
        <w:rPr>
          <w:rFonts w:hint="eastAsia"/>
          <w:color w:val="auto"/>
          <w:highlight w:val="none"/>
        </w:rPr>
      </w:pPr>
      <w:r>
        <w:rPr>
          <w:rFonts w:hint="eastAsia"/>
          <w:color w:val="auto"/>
          <w:highlight w:val="none"/>
          <w:lang w:val="en-US" w:eastAsia="zh-CN"/>
        </w:rPr>
        <w:t>绩效评价等级分为</w:t>
      </w:r>
      <w:r>
        <w:rPr>
          <w:rFonts w:hint="eastAsia"/>
          <w:color w:val="auto"/>
          <w:highlight w:val="none"/>
        </w:rPr>
        <w:t>优、良、中、差</w:t>
      </w:r>
      <w:r>
        <w:rPr>
          <w:rFonts w:hint="eastAsia"/>
          <w:color w:val="auto"/>
          <w:highlight w:val="none"/>
          <w:lang w:val="en-US" w:eastAsia="zh-CN"/>
        </w:rPr>
        <w:t>四档。</w:t>
      </w:r>
      <w:r>
        <w:rPr>
          <w:rFonts w:hint="eastAsia"/>
          <w:color w:val="auto"/>
          <w:highlight w:val="none"/>
          <w:lang w:eastAsia="zh-CN"/>
        </w:rPr>
        <w:t>（</w:t>
      </w:r>
      <w:r>
        <w:rPr>
          <w:rFonts w:hint="eastAsia"/>
          <w:color w:val="auto"/>
          <w:highlight w:val="none"/>
          <w:lang w:val="en-US" w:eastAsia="zh-CN"/>
        </w:rPr>
        <w:t>具体分值区间见表4</w:t>
      </w:r>
      <w:r>
        <w:rPr>
          <w:rFonts w:hint="eastAsia"/>
          <w:color w:val="auto"/>
          <w:highlight w:val="none"/>
          <w:lang w:eastAsia="zh-CN"/>
        </w:rPr>
        <w:t>）</w:t>
      </w:r>
      <w:r>
        <w:rPr>
          <w:rFonts w:hint="eastAsia"/>
          <w:color w:val="auto"/>
          <w:highlight w:val="none"/>
        </w:rPr>
        <w:t>。</w:t>
      </w:r>
    </w:p>
    <w:p w14:paraId="3916ABA8">
      <w:pPr>
        <w:bidi w:val="0"/>
        <w:ind w:left="0" w:leftChars="0" w:firstLine="0" w:firstLineChars="0"/>
        <w:jc w:val="center"/>
        <w:rPr>
          <w:rFonts w:hint="eastAsia" w:ascii="华文中宋" w:hAnsi="华文中宋" w:eastAsia="华文中宋" w:cs="华文中宋"/>
          <w:color w:val="auto"/>
          <w:sz w:val="28"/>
          <w:szCs w:val="20"/>
          <w:highlight w:val="none"/>
          <w:lang w:val="en-US" w:eastAsia="zh-CN"/>
        </w:rPr>
      </w:pPr>
      <w:r>
        <w:rPr>
          <w:rFonts w:hint="eastAsia" w:ascii="华文中宋" w:hAnsi="华文中宋" w:eastAsia="华文中宋" w:cs="华文中宋"/>
          <w:color w:val="auto"/>
          <w:sz w:val="28"/>
          <w:szCs w:val="20"/>
          <w:highlight w:val="none"/>
        </w:rPr>
        <w:t>表</w:t>
      </w:r>
      <w:r>
        <w:rPr>
          <w:rFonts w:hint="eastAsia" w:ascii="华文中宋" w:hAnsi="华文中宋" w:eastAsia="华文中宋" w:cs="华文中宋"/>
          <w:color w:val="auto"/>
          <w:sz w:val="28"/>
          <w:szCs w:val="20"/>
          <w:highlight w:val="none"/>
          <w:lang w:val="en-US" w:eastAsia="zh-CN"/>
        </w:rPr>
        <w:t>4</w:t>
      </w:r>
      <w:r>
        <w:rPr>
          <w:rFonts w:hint="eastAsia" w:ascii="华文中宋" w:hAnsi="华文中宋" w:eastAsia="华文中宋" w:cs="华文中宋"/>
          <w:color w:val="auto"/>
          <w:sz w:val="28"/>
          <w:szCs w:val="20"/>
          <w:highlight w:val="none"/>
        </w:rPr>
        <w:t xml:space="preserve"> </w:t>
      </w:r>
      <w:r>
        <w:rPr>
          <w:rFonts w:hint="eastAsia" w:ascii="华文中宋" w:hAnsi="华文中宋" w:eastAsia="华文中宋" w:cs="华文中宋"/>
          <w:color w:val="auto"/>
          <w:sz w:val="28"/>
          <w:szCs w:val="20"/>
          <w:highlight w:val="none"/>
          <w:lang w:val="en-US" w:eastAsia="zh-CN"/>
        </w:rPr>
        <w:t>绩效等级分值区间一览表</w:t>
      </w:r>
    </w:p>
    <w:tbl>
      <w:tblPr>
        <w:tblStyle w:val="22"/>
        <w:tblW w:w="874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38"/>
        <w:gridCol w:w="1765"/>
        <w:gridCol w:w="1700"/>
        <w:gridCol w:w="1807"/>
        <w:gridCol w:w="1930"/>
      </w:tblGrid>
      <w:tr w14:paraId="48B4D3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jc w:val="center"/>
        </w:trPr>
        <w:tc>
          <w:tcPr>
            <w:tcW w:w="1538" w:type="dxa"/>
            <w:vAlign w:val="center"/>
          </w:tcPr>
          <w:p w14:paraId="312CB3B2">
            <w:pPr>
              <w:widowControl/>
              <w:spacing w:line="240" w:lineRule="exact"/>
              <w:ind w:left="0" w:leftChars="0" w:firstLine="0" w:firstLineChars="0"/>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绩效等级</w:t>
            </w:r>
          </w:p>
        </w:tc>
        <w:tc>
          <w:tcPr>
            <w:tcW w:w="1765" w:type="dxa"/>
            <w:vAlign w:val="center"/>
          </w:tcPr>
          <w:p w14:paraId="4CFCE8DD">
            <w:pPr>
              <w:widowControl/>
              <w:spacing w:line="240" w:lineRule="exact"/>
              <w:ind w:left="0" w:leftChars="0" w:firstLine="0" w:firstLineChars="0"/>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优</w:t>
            </w:r>
          </w:p>
        </w:tc>
        <w:tc>
          <w:tcPr>
            <w:tcW w:w="1700" w:type="dxa"/>
            <w:vAlign w:val="center"/>
          </w:tcPr>
          <w:p w14:paraId="18FDC51E">
            <w:pPr>
              <w:widowControl/>
              <w:spacing w:line="240" w:lineRule="exact"/>
              <w:ind w:left="0" w:leftChars="0" w:firstLine="0" w:firstLineChars="0"/>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良</w:t>
            </w:r>
          </w:p>
        </w:tc>
        <w:tc>
          <w:tcPr>
            <w:tcW w:w="1807" w:type="dxa"/>
            <w:vAlign w:val="center"/>
          </w:tcPr>
          <w:p w14:paraId="184F7076">
            <w:pPr>
              <w:widowControl/>
              <w:spacing w:line="240" w:lineRule="exact"/>
              <w:ind w:left="0" w:leftChars="0" w:firstLine="0" w:firstLineChars="0"/>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中</w:t>
            </w:r>
          </w:p>
        </w:tc>
        <w:tc>
          <w:tcPr>
            <w:tcW w:w="1930" w:type="dxa"/>
            <w:vAlign w:val="center"/>
          </w:tcPr>
          <w:p w14:paraId="77393D0E">
            <w:pPr>
              <w:widowControl/>
              <w:spacing w:line="240" w:lineRule="exact"/>
              <w:ind w:left="0" w:leftChars="0" w:firstLine="0" w:firstLineChars="0"/>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差</w:t>
            </w:r>
          </w:p>
        </w:tc>
      </w:tr>
      <w:tr w14:paraId="19CE56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4" w:hRule="atLeast"/>
          <w:jc w:val="center"/>
        </w:trPr>
        <w:tc>
          <w:tcPr>
            <w:tcW w:w="1538" w:type="dxa"/>
            <w:vAlign w:val="center"/>
          </w:tcPr>
          <w:p w14:paraId="233DE715">
            <w:pPr>
              <w:widowControl/>
              <w:spacing w:line="240" w:lineRule="exact"/>
              <w:ind w:left="0" w:leftChars="0" w:firstLine="0" w:firstLineChars="0"/>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分数</w:t>
            </w:r>
          </w:p>
        </w:tc>
        <w:tc>
          <w:tcPr>
            <w:tcW w:w="1765" w:type="dxa"/>
            <w:vAlign w:val="center"/>
          </w:tcPr>
          <w:p w14:paraId="1408B01D">
            <w:pPr>
              <w:widowControl/>
              <w:spacing w:line="240" w:lineRule="exact"/>
              <w:ind w:left="0" w:leftChars="0" w:firstLine="0" w:firstLineChars="0"/>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90</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x</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100</w:t>
            </w:r>
          </w:p>
        </w:tc>
        <w:tc>
          <w:tcPr>
            <w:tcW w:w="1700" w:type="dxa"/>
            <w:vAlign w:val="center"/>
          </w:tcPr>
          <w:p w14:paraId="1966ACDB">
            <w:pPr>
              <w:widowControl/>
              <w:spacing w:line="240" w:lineRule="exact"/>
              <w:ind w:left="0" w:leftChars="0" w:firstLine="0" w:firstLineChars="0"/>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80</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x</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90</w:t>
            </w:r>
          </w:p>
        </w:tc>
        <w:tc>
          <w:tcPr>
            <w:tcW w:w="1807" w:type="dxa"/>
            <w:vAlign w:val="center"/>
          </w:tcPr>
          <w:p w14:paraId="5BE4D1F7">
            <w:pPr>
              <w:widowControl/>
              <w:spacing w:line="240" w:lineRule="exact"/>
              <w:ind w:left="0" w:leftChars="0" w:firstLine="0" w:firstLineChars="0"/>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60</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x</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80</w:t>
            </w:r>
          </w:p>
        </w:tc>
        <w:tc>
          <w:tcPr>
            <w:tcW w:w="1930" w:type="dxa"/>
            <w:vAlign w:val="center"/>
          </w:tcPr>
          <w:p w14:paraId="6A05AA17">
            <w:pPr>
              <w:widowControl/>
              <w:spacing w:line="240" w:lineRule="exact"/>
              <w:ind w:left="0" w:leftChars="0" w:firstLine="0" w:firstLineChars="0"/>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X</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60</w:t>
            </w:r>
          </w:p>
        </w:tc>
      </w:tr>
    </w:tbl>
    <w:p w14:paraId="74322C37">
      <w:pPr>
        <w:bidi w:val="0"/>
        <w:rPr>
          <w:rFonts w:hint="eastAsia"/>
          <w:color w:val="auto"/>
          <w:highlight w:val="none"/>
        </w:rPr>
      </w:pPr>
      <w:r>
        <w:rPr>
          <w:rFonts w:hint="eastAsia"/>
          <w:color w:val="auto"/>
          <w:highlight w:val="none"/>
        </w:rPr>
        <w:t>。</w:t>
      </w:r>
    </w:p>
    <w:p w14:paraId="4AAC8547">
      <w:pPr>
        <w:pStyle w:val="2"/>
        <w:bidi w:val="0"/>
        <w:rPr>
          <w:rFonts w:hint="default" w:ascii="Arial" w:hAnsi="Arial"/>
          <w:color w:val="auto"/>
          <w:highlight w:val="none"/>
          <w:lang w:val="en-US" w:eastAsia="zh-CN"/>
        </w:rPr>
      </w:pPr>
      <w:bookmarkStart w:id="109" w:name="_Toc4253"/>
      <w:bookmarkStart w:id="110" w:name="_Toc5845"/>
      <w:bookmarkStart w:id="111" w:name="_Toc8910"/>
      <w:bookmarkStart w:id="112" w:name="_Toc29455"/>
      <w:bookmarkStart w:id="113" w:name="_Toc2389"/>
      <w:r>
        <w:rPr>
          <w:rFonts w:hint="eastAsia" w:ascii="Arial" w:hAnsi="Arial"/>
          <w:color w:val="auto"/>
          <w:highlight w:val="none"/>
          <w:lang w:val="en-US" w:eastAsia="zh-CN"/>
        </w:rPr>
        <w:t>七</w:t>
      </w:r>
      <w:r>
        <w:rPr>
          <w:rFonts w:hint="eastAsia" w:ascii="Arial" w:hAnsi="Arial"/>
          <w:color w:val="auto"/>
          <w:highlight w:val="none"/>
        </w:rPr>
        <w:t>、评价流程</w:t>
      </w:r>
      <w:bookmarkEnd w:id="109"/>
      <w:bookmarkEnd w:id="110"/>
      <w:bookmarkEnd w:id="111"/>
      <w:bookmarkEnd w:id="112"/>
      <w:r>
        <w:rPr>
          <w:rFonts w:hint="eastAsia" w:ascii="Arial" w:hAnsi="Arial"/>
          <w:color w:val="auto"/>
          <w:highlight w:val="none"/>
          <w:lang w:val="en-US" w:eastAsia="zh-CN"/>
        </w:rPr>
        <w:t>与安排</w:t>
      </w:r>
      <w:bookmarkEnd w:id="113"/>
    </w:p>
    <w:p w14:paraId="0D5E3553">
      <w:pPr>
        <w:pStyle w:val="4"/>
        <w:bidi w:val="0"/>
        <w:rPr>
          <w:rFonts w:hint="eastAsia"/>
          <w:color w:val="auto"/>
          <w:highlight w:val="none"/>
          <w:lang w:val="en-US" w:eastAsia="zh-CN"/>
        </w:rPr>
      </w:pPr>
      <w:r>
        <w:rPr>
          <w:rFonts w:hint="eastAsia"/>
          <w:color w:val="auto"/>
          <w:highlight w:val="none"/>
          <w:lang w:val="en-US" w:eastAsia="zh-CN"/>
        </w:rPr>
        <w:t>（一）西郊街道绩效自评</w:t>
      </w:r>
    </w:p>
    <w:p w14:paraId="33417AD1">
      <w:pPr>
        <w:spacing w:line="560" w:lineRule="exact"/>
        <w:ind w:firstLine="640" w:firstLineChars="200"/>
        <w:rPr>
          <w:rFonts w:hint="eastAsia" w:ascii="Times New Roman" w:hAnsi="Times New Roman" w:eastAsia="仿宋_GB2312" w:cs="Calibri"/>
          <w:color w:val="auto"/>
          <w:sz w:val="32"/>
          <w:szCs w:val="21"/>
          <w:highlight w:val="none"/>
          <w:lang w:val="en-US" w:eastAsia="zh-CN"/>
        </w:rPr>
      </w:pPr>
      <w:r>
        <w:rPr>
          <w:rFonts w:hint="eastAsia" w:cs="Calibri"/>
          <w:color w:val="auto"/>
          <w:sz w:val="32"/>
          <w:szCs w:val="21"/>
          <w:highlight w:val="none"/>
          <w:lang w:val="en-US" w:eastAsia="zh-CN"/>
        </w:rPr>
        <w:t>西郊街道</w:t>
      </w:r>
      <w:r>
        <w:rPr>
          <w:rFonts w:hint="eastAsia" w:ascii="Times New Roman" w:hAnsi="Times New Roman" w:eastAsia="仿宋_GB2312" w:cs="Calibri"/>
          <w:color w:val="auto"/>
          <w:sz w:val="32"/>
          <w:szCs w:val="21"/>
          <w:highlight w:val="none"/>
          <w:lang w:val="en-US" w:eastAsia="zh-CN"/>
        </w:rPr>
        <w:t>按《梅江区财政局关于开展2022年区级财政资金整体支出绩效自评工作的通知》（梅区财绩字〔2023〕2号）要求，开展自评，自评完成后，将有关材料报送至区财政局与评价小组。</w:t>
      </w:r>
    </w:p>
    <w:p w14:paraId="071D27D1">
      <w:pPr>
        <w:spacing w:line="560" w:lineRule="exact"/>
        <w:ind w:firstLine="640" w:firstLineChars="200"/>
        <w:rPr>
          <w:rFonts w:hint="eastAsia" w:ascii="Times New Roman" w:hAnsi="Times New Roman" w:eastAsia="仿宋_GB2312" w:cs="Calibri"/>
          <w:color w:val="auto"/>
          <w:sz w:val="32"/>
          <w:szCs w:val="21"/>
          <w:highlight w:val="none"/>
          <w:lang w:val="en-US" w:eastAsia="zh-CN"/>
        </w:rPr>
      </w:pPr>
    </w:p>
    <w:p w14:paraId="5F0C9D77">
      <w:pPr>
        <w:pStyle w:val="4"/>
        <w:bidi w:val="0"/>
        <w:rPr>
          <w:rFonts w:hint="eastAsia"/>
          <w:color w:val="auto"/>
          <w:highlight w:val="none"/>
          <w:lang w:val="en-US" w:eastAsia="zh-CN"/>
        </w:rPr>
      </w:pPr>
      <w:r>
        <w:rPr>
          <w:rFonts w:hint="eastAsia"/>
          <w:color w:val="auto"/>
          <w:highlight w:val="none"/>
          <w:lang w:val="en-US" w:eastAsia="zh-CN"/>
        </w:rPr>
        <w:t>（二）评价小组前期准备</w:t>
      </w:r>
    </w:p>
    <w:p w14:paraId="5B5503A5">
      <w:pPr>
        <w:spacing w:line="560" w:lineRule="exact"/>
        <w:ind w:firstLine="640" w:firstLineChars="200"/>
        <w:rPr>
          <w:rFonts w:hint="eastAsia" w:ascii="Times New Roman" w:hAnsi="Times New Roman" w:eastAsia="仿宋_GB2312" w:cs="Calibri"/>
          <w:color w:val="auto"/>
          <w:sz w:val="32"/>
          <w:szCs w:val="21"/>
          <w:highlight w:val="none"/>
          <w:lang w:val="en-US" w:eastAsia="zh-CN"/>
        </w:rPr>
      </w:pPr>
      <w:r>
        <w:rPr>
          <w:rFonts w:hint="eastAsia" w:ascii="Times New Roman" w:hAnsi="Times New Roman" w:eastAsia="仿宋_GB2312" w:cs="Calibri"/>
          <w:color w:val="auto"/>
          <w:sz w:val="32"/>
          <w:szCs w:val="21"/>
          <w:highlight w:val="none"/>
          <w:lang w:val="en-US" w:eastAsia="zh-CN"/>
        </w:rPr>
        <w:t>根据《梅江区财政局关于做好2023年区级财政重点绩效评价工作的通知》（梅区财绩字〔2023〕4号），拟订评价材料清单，从预算单位收集、整理评价相关的资料，在此基础上，邀请专家研究细化评价指标体系，最终形成评价方案，报送至被评价单位及区财政局征求意见。</w:t>
      </w:r>
    </w:p>
    <w:p w14:paraId="7EB81A25">
      <w:pPr>
        <w:spacing w:line="560" w:lineRule="exact"/>
        <w:ind w:firstLine="640" w:firstLineChars="200"/>
        <w:rPr>
          <w:rFonts w:hint="eastAsia" w:ascii="Times New Roman" w:hAnsi="Times New Roman" w:eastAsia="仿宋_GB2312" w:cs="Calibri"/>
          <w:color w:val="auto"/>
          <w:sz w:val="32"/>
          <w:szCs w:val="21"/>
          <w:highlight w:val="none"/>
          <w:lang w:val="en-US" w:eastAsia="zh-CN"/>
        </w:rPr>
      </w:pPr>
    </w:p>
    <w:p w14:paraId="635D4D21">
      <w:pPr>
        <w:pStyle w:val="4"/>
        <w:bidi w:val="0"/>
        <w:rPr>
          <w:rFonts w:hint="eastAsia"/>
          <w:color w:val="auto"/>
          <w:highlight w:val="none"/>
          <w:lang w:val="en-US" w:eastAsia="zh-CN"/>
        </w:rPr>
      </w:pPr>
      <w:r>
        <w:rPr>
          <w:rFonts w:hint="eastAsia"/>
          <w:color w:val="auto"/>
          <w:highlight w:val="none"/>
          <w:lang w:val="en-US" w:eastAsia="zh-CN"/>
        </w:rPr>
        <w:t>（三）评价小组与被评价单位就评价方案、指标进行沟通</w:t>
      </w:r>
    </w:p>
    <w:p w14:paraId="2C04E256">
      <w:pPr>
        <w:spacing w:line="560" w:lineRule="exact"/>
        <w:ind w:firstLine="640" w:firstLineChars="200"/>
        <w:rPr>
          <w:rFonts w:hint="eastAsia" w:ascii="Times New Roman" w:hAnsi="Times New Roman" w:eastAsia="仿宋_GB2312" w:cs="Calibri"/>
          <w:color w:val="auto"/>
          <w:sz w:val="32"/>
          <w:szCs w:val="21"/>
          <w:highlight w:val="none"/>
          <w:lang w:val="en-US" w:eastAsia="zh-CN"/>
        </w:rPr>
      </w:pPr>
      <w:r>
        <w:rPr>
          <w:rFonts w:hint="eastAsia" w:ascii="Times New Roman" w:hAnsi="Times New Roman" w:eastAsia="仿宋_GB2312" w:cs="Calibri"/>
          <w:color w:val="auto"/>
          <w:sz w:val="32"/>
          <w:szCs w:val="21"/>
          <w:highlight w:val="none"/>
          <w:lang w:val="en-US" w:eastAsia="zh-CN"/>
        </w:rPr>
        <w:t>评价小组赴区财政局就情况进行沟通，听取区财政局对指标体系、评分规则初稿的意见，经协商讨论后，确定本次评价的指标体系。</w:t>
      </w:r>
    </w:p>
    <w:p w14:paraId="638031DC">
      <w:pPr>
        <w:spacing w:line="560" w:lineRule="exact"/>
        <w:ind w:firstLine="640" w:firstLineChars="200"/>
        <w:rPr>
          <w:rFonts w:hint="eastAsia" w:ascii="Times New Roman" w:hAnsi="Times New Roman" w:eastAsia="仿宋_GB2312" w:cs="Calibri"/>
          <w:color w:val="auto"/>
          <w:sz w:val="32"/>
          <w:szCs w:val="21"/>
          <w:highlight w:val="none"/>
          <w:lang w:val="en-US" w:eastAsia="zh-CN"/>
        </w:rPr>
      </w:pPr>
    </w:p>
    <w:p w14:paraId="4C25086A">
      <w:pPr>
        <w:pStyle w:val="4"/>
        <w:bidi w:val="0"/>
        <w:rPr>
          <w:rFonts w:hint="eastAsia"/>
          <w:color w:val="auto"/>
          <w:highlight w:val="none"/>
          <w:lang w:val="en-US" w:eastAsia="zh-CN"/>
        </w:rPr>
      </w:pPr>
      <w:r>
        <w:rPr>
          <w:rFonts w:hint="eastAsia"/>
          <w:color w:val="auto"/>
          <w:highlight w:val="none"/>
          <w:lang w:val="en-US" w:eastAsia="zh-CN"/>
        </w:rPr>
        <w:t>（四）书面评审</w:t>
      </w:r>
    </w:p>
    <w:p w14:paraId="737FCAA6">
      <w:pPr>
        <w:spacing w:line="560" w:lineRule="exact"/>
        <w:ind w:firstLine="640" w:firstLineChars="200"/>
        <w:rPr>
          <w:rFonts w:hint="eastAsia" w:ascii="Times New Roman" w:hAnsi="Times New Roman" w:eastAsia="仿宋_GB2312" w:cs="Calibri"/>
          <w:color w:val="auto"/>
          <w:sz w:val="32"/>
          <w:szCs w:val="21"/>
          <w:highlight w:val="none"/>
          <w:lang w:val="en-US" w:eastAsia="zh-CN"/>
        </w:rPr>
      </w:pPr>
      <w:r>
        <w:rPr>
          <w:rFonts w:hint="eastAsia" w:ascii="Times New Roman" w:hAnsi="Times New Roman" w:eastAsia="仿宋_GB2312" w:cs="Calibri"/>
          <w:color w:val="auto"/>
          <w:sz w:val="32"/>
          <w:szCs w:val="21"/>
          <w:highlight w:val="none"/>
          <w:lang w:val="en-US" w:eastAsia="zh-CN"/>
        </w:rPr>
        <w:t>按</w:t>
      </w:r>
      <w:r>
        <w:rPr>
          <w:rFonts w:hint="eastAsia" w:cs="Calibri"/>
          <w:color w:val="auto"/>
          <w:sz w:val="32"/>
          <w:szCs w:val="21"/>
          <w:highlight w:val="none"/>
          <w:lang w:val="en-US" w:eastAsia="zh-CN"/>
        </w:rPr>
        <w:t>西郊街道</w:t>
      </w:r>
      <w:r>
        <w:rPr>
          <w:rFonts w:hint="eastAsia" w:ascii="Times New Roman" w:hAnsi="Times New Roman" w:eastAsia="仿宋_GB2312" w:cs="Calibri"/>
          <w:color w:val="auto"/>
          <w:sz w:val="32"/>
          <w:szCs w:val="21"/>
          <w:highlight w:val="none"/>
          <w:lang w:val="en-US" w:eastAsia="zh-CN"/>
        </w:rPr>
        <w:t>提交的绩效评价资料进行收集、分类整理，对评价材料进行评审、分析，为开展现场核查与综合评价提供参考。</w:t>
      </w:r>
    </w:p>
    <w:p w14:paraId="17C6EE25">
      <w:pPr>
        <w:spacing w:line="560" w:lineRule="exact"/>
        <w:ind w:firstLine="640" w:firstLineChars="200"/>
        <w:rPr>
          <w:rFonts w:hint="eastAsia" w:ascii="Times New Roman" w:hAnsi="Times New Roman" w:eastAsia="仿宋_GB2312" w:cs="Calibri"/>
          <w:color w:val="auto"/>
          <w:sz w:val="32"/>
          <w:szCs w:val="21"/>
          <w:highlight w:val="none"/>
          <w:lang w:val="en-US" w:eastAsia="zh-CN"/>
        </w:rPr>
      </w:pPr>
    </w:p>
    <w:p w14:paraId="5DBD1856">
      <w:pPr>
        <w:pStyle w:val="4"/>
        <w:bidi w:val="0"/>
        <w:rPr>
          <w:rFonts w:hint="eastAsia"/>
          <w:color w:val="auto"/>
          <w:highlight w:val="none"/>
          <w:lang w:val="en-US" w:eastAsia="zh-CN"/>
        </w:rPr>
      </w:pPr>
      <w:r>
        <w:rPr>
          <w:rFonts w:hint="eastAsia"/>
          <w:color w:val="auto"/>
          <w:highlight w:val="none"/>
          <w:lang w:val="en-US" w:eastAsia="zh-CN"/>
        </w:rPr>
        <w:t>（五）现场核查</w:t>
      </w:r>
    </w:p>
    <w:p w14:paraId="407D8862">
      <w:pPr>
        <w:spacing w:line="560" w:lineRule="exact"/>
        <w:ind w:firstLine="640" w:firstLineChars="200"/>
        <w:rPr>
          <w:rFonts w:hint="eastAsia" w:ascii="Times New Roman" w:hAnsi="Times New Roman" w:eastAsia="仿宋_GB2312" w:cs="Calibri"/>
          <w:color w:val="auto"/>
          <w:sz w:val="32"/>
          <w:szCs w:val="21"/>
          <w:highlight w:val="none"/>
          <w:lang w:val="en-US" w:eastAsia="zh-CN"/>
        </w:rPr>
      </w:pPr>
      <w:r>
        <w:rPr>
          <w:rFonts w:hint="eastAsia" w:ascii="Times New Roman" w:hAnsi="Times New Roman" w:eastAsia="仿宋_GB2312" w:cs="Calibri"/>
          <w:color w:val="auto"/>
          <w:sz w:val="32"/>
          <w:szCs w:val="21"/>
          <w:highlight w:val="none"/>
          <w:lang w:val="en-US" w:eastAsia="zh-CN"/>
        </w:rPr>
        <w:t>评价小组对</w:t>
      </w:r>
      <w:r>
        <w:rPr>
          <w:rFonts w:hint="eastAsia" w:cs="Calibri"/>
          <w:color w:val="auto"/>
          <w:sz w:val="32"/>
          <w:szCs w:val="21"/>
          <w:highlight w:val="none"/>
          <w:lang w:val="en-US" w:eastAsia="zh-CN"/>
        </w:rPr>
        <w:t>西郊街道</w:t>
      </w:r>
      <w:r>
        <w:rPr>
          <w:rFonts w:hint="eastAsia" w:ascii="Times New Roman" w:hAnsi="Times New Roman" w:eastAsia="仿宋_GB2312" w:cs="Calibri"/>
          <w:color w:val="auto"/>
          <w:sz w:val="32"/>
          <w:szCs w:val="21"/>
          <w:highlight w:val="none"/>
          <w:lang w:val="en-US" w:eastAsia="zh-CN"/>
        </w:rPr>
        <w:t>开展现场核查工作。现场核查采取现场座谈会、资料原件审阅、实地勘察等方式，了解资金使用的过程及效果。该环节在2023年10月2</w:t>
      </w:r>
      <w:r>
        <w:rPr>
          <w:rFonts w:hint="eastAsia" w:cs="Calibri"/>
          <w:color w:val="auto"/>
          <w:sz w:val="32"/>
          <w:szCs w:val="21"/>
          <w:highlight w:val="none"/>
          <w:lang w:val="en-US" w:eastAsia="zh-CN"/>
        </w:rPr>
        <w:t>4</w:t>
      </w:r>
      <w:r>
        <w:rPr>
          <w:rFonts w:hint="eastAsia" w:ascii="Times New Roman" w:hAnsi="Times New Roman" w:eastAsia="仿宋_GB2312" w:cs="Calibri"/>
          <w:color w:val="auto"/>
          <w:sz w:val="32"/>
          <w:szCs w:val="21"/>
          <w:highlight w:val="none"/>
          <w:lang w:val="en-US" w:eastAsia="zh-CN"/>
        </w:rPr>
        <w:t>日实施。</w:t>
      </w:r>
    </w:p>
    <w:p w14:paraId="78415757">
      <w:pPr>
        <w:spacing w:line="560" w:lineRule="exact"/>
        <w:ind w:firstLine="640" w:firstLineChars="200"/>
        <w:rPr>
          <w:rFonts w:hint="eastAsia" w:ascii="Times New Roman" w:hAnsi="Times New Roman" w:eastAsia="仿宋_GB2312" w:cs="Calibri"/>
          <w:color w:val="auto"/>
          <w:sz w:val="32"/>
          <w:szCs w:val="21"/>
          <w:highlight w:val="none"/>
          <w:lang w:val="en-US" w:eastAsia="zh-CN"/>
        </w:rPr>
      </w:pPr>
      <w:r>
        <w:rPr>
          <w:rFonts w:hint="eastAsia" w:ascii="Times New Roman" w:hAnsi="Times New Roman" w:eastAsia="仿宋_GB2312" w:cs="Calibri"/>
          <w:color w:val="auto"/>
          <w:sz w:val="32"/>
          <w:szCs w:val="21"/>
          <w:highlight w:val="none"/>
          <w:lang w:val="en-US" w:eastAsia="zh-CN"/>
        </w:rPr>
        <w:t>本阶段工作重点：一是根据部门预算及其他有关规定的要求，核查资金支出的合规性及支出内容的相关性，检查相关资金（1）是否严格执行资金管理、费用标准集中支付制度等规定，（2）是否据实支出，是否存在虚列支出的情况，（3）是否存在截留、挤占、挪用资金的情况，（4）部门预算资金会计核算是否规范，（5）是否按进度支付资金，（6）是否按有关管理办法等要求的范围、标准支出，（7）是否存在其他违法违规行为。二是有关项目是否按时、按质完成，是否存在项目进度滞后、完成后工程质量不达标等情况。若存在有关情况，与单位分析其产生的原因。三是检查资产管理情况。按固定资产清单，抽取部分重要资产检查其使用及管理情况。四是通过座谈、问答等方式，了解部门资金预算实施过程中出现的亮点、部门在项目管理、资金管理等方面的管理经验及教训及影响工作推进的各方面障碍。</w:t>
      </w:r>
    </w:p>
    <w:p w14:paraId="3D9BBA8F">
      <w:pPr>
        <w:spacing w:line="560" w:lineRule="exact"/>
        <w:ind w:firstLine="640" w:firstLineChars="200"/>
        <w:rPr>
          <w:rFonts w:hint="eastAsia" w:ascii="Times New Roman" w:hAnsi="Times New Roman" w:eastAsia="仿宋_GB2312" w:cs="Calibri"/>
          <w:color w:val="auto"/>
          <w:sz w:val="32"/>
          <w:szCs w:val="21"/>
          <w:highlight w:val="none"/>
          <w:lang w:val="en-US" w:eastAsia="zh-CN"/>
        </w:rPr>
      </w:pPr>
    </w:p>
    <w:p w14:paraId="45490CDF">
      <w:pPr>
        <w:pStyle w:val="4"/>
        <w:bidi w:val="0"/>
        <w:rPr>
          <w:rFonts w:hint="eastAsia"/>
          <w:color w:val="auto"/>
          <w:highlight w:val="none"/>
          <w:lang w:val="en-US" w:eastAsia="zh-CN"/>
        </w:rPr>
      </w:pPr>
      <w:r>
        <w:rPr>
          <w:rFonts w:hint="eastAsia"/>
          <w:color w:val="auto"/>
          <w:highlight w:val="none"/>
          <w:lang w:val="en-US" w:eastAsia="zh-CN"/>
        </w:rPr>
        <w:t>（六）综合评价</w:t>
      </w:r>
    </w:p>
    <w:p w14:paraId="60543CFB">
      <w:pPr>
        <w:spacing w:line="560" w:lineRule="exact"/>
        <w:ind w:firstLine="640" w:firstLineChars="200"/>
        <w:rPr>
          <w:rFonts w:hint="eastAsia" w:ascii="Times New Roman" w:hAnsi="Times New Roman" w:eastAsia="仿宋_GB2312" w:cs="Calibri"/>
          <w:color w:val="auto"/>
          <w:sz w:val="32"/>
          <w:szCs w:val="21"/>
          <w:highlight w:val="none"/>
          <w:lang w:val="en-US" w:eastAsia="zh-CN"/>
        </w:rPr>
      </w:pPr>
      <w:r>
        <w:rPr>
          <w:rFonts w:hint="eastAsia" w:ascii="Times New Roman" w:hAnsi="Times New Roman" w:eastAsia="仿宋_GB2312" w:cs="Calibri"/>
          <w:color w:val="auto"/>
          <w:sz w:val="32"/>
          <w:szCs w:val="21"/>
          <w:highlight w:val="none"/>
          <w:lang w:val="en-US" w:eastAsia="zh-CN"/>
        </w:rPr>
        <w:t>综合书面评审结果、现场核查结论及各项目单位提供的评价材料，对</w:t>
      </w:r>
      <w:r>
        <w:rPr>
          <w:rFonts w:hint="eastAsia" w:cs="Calibri"/>
          <w:color w:val="auto"/>
          <w:sz w:val="32"/>
          <w:szCs w:val="21"/>
          <w:highlight w:val="none"/>
          <w:lang w:val="en-US" w:eastAsia="zh-CN"/>
        </w:rPr>
        <w:t>西郊街道</w:t>
      </w:r>
      <w:r>
        <w:rPr>
          <w:rFonts w:hint="eastAsia" w:ascii="Times New Roman" w:hAnsi="Times New Roman" w:eastAsia="仿宋_GB2312" w:cs="Calibri"/>
          <w:color w:val="auto"/>
          <w:sz w:val="32"/>
          <w:szCs w:val="21"/>
          <w:highlight w:val="none"/>
          <w:lang w:val="en-US" w:eastAsia="zh-CN"/>
        </w:rPr>
        <w:t>2022年部门整体支出绩效进行全面、综合评价。</w:t>
      </w:r>
    </w:p>
    <w:p w14:paraId="0711407B">
      <w:pPr>
        <w:spacing w:line="560" w:lineRule="exact"/>
        <w:ind w:firstLine="640" w:firstLineChars="200"/>
        <w:rPr>
          <w:rFonts w:hint="eastAsia" w:ascii="Times New Roman" w:hAnsi="Times New Roman" w:eastAsia="仿宋_GB2312" w:cs="Calibri"/>
          <w:color w:val="auto"/>
          <w:sz w:val="32"/>
          <w:szCs w:val="21"/>
          <w:highlight w:val="none"/>
          <w:lang w:val="en-US" w:eastAsia="zh-CN"/>
        </w:rPr>
      </w:pPr>
    </w:p>
    <w:p w14:paraId="2B1BE35B">
      <w:pPr>
        <w:pStyle w:val="4"/>
        <w:bidi w:val="0"/>
        <w:rPr>
          <w:rFonts w:hint="eastAsia"/>
          <w:color w:val="auto"/>
          <w:highlight w:val="none"/>
          <w:lang w:val="en-US" w:eastAsia="zh-CN"/>
        </w:rPr>
      </w:pPr>
      <w:r>
        <w:rPr>
          <w:rFonts w:hint="eastAsia"/>
          <w:color w:val="auto"/>
          <w:highlight w:val="none"/>
          <w:lang w:val="en-US" w:eastAsia="zh-CN"/>
        </w:rPr>
        <w:t>（七）撰写报告及征询修改</w:t>
      </w:r>
    </w:p>
    <w:p w14:paraId="27798AA9">
      <w:pPr>
        <w:spacing w:line="560" w:lineRule="exact"/>
        <w:ind w:firstLine="640" w:firstLineChars="200"/>
        <w:rPr>
          <w:rFonts w:hint="eastAsia" w:ascii="Times New Roman" w:hAnsi="Times New Roman" w:eastAsia="仿宋_GB2312" w:cs="Calibri"/>
          <w:color w:val="auto"/>
          <w:sz w:val="32"/>
          <w:szCs w:val="21"/>
          <w:highlight w:val="none"/>
          <w:lang w:val="en-US" w:eastAsia="zh-CN"/>
        </w:rPr>
      </w:pPr>
      <w:r>
        <w:rPr>
          <w:rFonts w:hint="eastAsia" w:ascii="Times New Roman" w:hAnsi="Times New Roman" w:eastAsia="仿宋_GB2312" w:cs="Calibri"/>
          <w:color w:val="auto"/>
          <w:sz w:val="32"/>
          <w:szCs w:val="21"/>
          <w:highlight w:val="none"/>
          <w:lang w:val="en-US" w:eastAsia="zh-CN"/>
        </w:rPr>
        <w:t>依据综合评价结果撰写评价报告，内容包括资金概述、评价指标分析、评价结论和存在问题分析及具体改进措施与建议等。报告完成后，评价小组将报告提交至区财政局，由区财政局向</w:t>
      </w:r>
      <w:r>
        <w:rPr>
          <w:rFonts w:hint="eastAsia" w:cs="Calibri"/>
          <w:color w:val="auto"/>
          <w:sz w:val="32"/>
          <w:szCs w:val="21"/>
          <w:highlight w:val="none"/>
          <w:lang w:val="en-US" w:eastAsia="zh-CN"/>
        </w:rPr>
        <w:t>西郊街道</w:t>
      </w:r>
      <w:r>
        <w:rPr>
          <w:rFonts w:hint="eastAsia" w:ascii="Times New Roman" w:hAnsi="Times New Roman" w:eastAsia="仿宋_GB2312" w:cs="Calibri"/>
          <w:color w:val="auto"/>
          <w:sz w:val="32"/>
          <w:szCs w:val="21"/>
          <w:highlight w:val="none"/>
          <w:lang w:val="en-US" w:eastAsia="zh-CN"/>
        </w:rPr>
        <w:t>征求意见。</w:t>
      </w:r>
    </w:p>
    <w:p w14:paraId="47725C6D">
      <w:pPr>
        <w:bidi w:val="0"/>
        <w:rPr>
          <w:rFonts w:hint="default"/>
          <w:color w:val="auto"/>
          <w:highlight w:val="none"/>
          <w:lang w:val="en-US" w:eastAsia="zh-CN"/>
        </w:rPr>
      </w:pPr>
    </w:p>
    <w:p w14:paraId="1ECE2B55">
      <w:pPr>
        <w:pStyle w:val="2"/>
        <w:bidi w:val="0"/>
        <w:rPr>
          <w:rFonts w:hint="eastAsia"/>
          <w:color w:val="auto"/>
          <w:highlight w:val="none"/>
        </w:rPr>
      </w:pPr>
      <w:bookmarkStart w:id="114" w:name="_Toc13907"/>
      <w:r>
        <w:rPr>
          <w:rFonts w:hint="eastAsia"/>
          <w:color w:val="auto"/>
          <w:highlight w:val="none"/>
          <w:lang w:val="en-US" w:eastAsia="zh-CN"/>
        </w:rPr>
        <w:t>八</w:t>
      </w:r>
      <w:r>
        <w:rPr>
          <w:rFonts w:hint="eastAsia"/>
          <w:color w:val="auto"/>
          <w:highlight w:val="none"/>
        </w:rPr>
        <w:t>、评价人员</w:t>
      </w:r>
      <w:bookmarkEnd w:id="114"/>
    </w:p>
    <w:p w14:paraId="4EFE2D73">
      <w:pPr>
        <w:bidi w:val="0"/>
        <w:rPr>
          <w:rFonts w:hint="eastAsia"/>
          <w:color w:val="auto"/>
          <w:highlight w:val="none"/>
        </w:rPr>
      </w:pPr>
      <w:r>
        <w:rPr>
          <w:rFonts w:hint="eastAsia"/>
          <w:color w:val="auto"/>
          <w:highlight w:val="none"/>
        </w:rPr>
        <w:t>本次部门整体支出绩效评价人员构成详见表</w:t>
      </w:r>
      <w:r>
        <w:rPr>
          <w:rFonts w:hint="eastAsia"/>
          <w:color w:val="auto"/>
          <w:highlight w:val="none"/>
          <w:lang w:val="en-US" w:eastAsia="zh-CN"/>
        </w:rPr>
        <w:t>5</w:t>
      </w:r>
      <w:r>
        <w:rPr>
          <w:rFonts w:hint="eastAsia"/>
          <w:color w:val="auto"/>
          <w:highlight w:val="none"/>
        </w:rPr>
        <w:t>：</w:t>
      </w:r>
    </w:p>
    <w:p w14:paraId="52C0F9DC">
      <w:pPr>
        <w:bidi w:val="0"/>
        <w:spacing w:line="600" w:lineRule="exact"/>
        <w:ind w:left="0" w:leftChars="0" w:firstLine="0" w:firstLineChars="0"/>
        <w:jc w:val="center"/>
        <w:rPr>
          <w:rFonts w:hint="eastAsia" w:ascii="Times New Roman" w:hAnsi="Times New Roman" w:eastAsia="华文中宋" w:cs="Times New Roman"/>
          <w:color w:val="auto"/>
          <w:sz w:val="28"/>
          <w:szCs w:val="20"/>
          <w:highlight w:val="none"/>
          <w:lang w:val="en-US" w:eastAsia="zh-CN"/>
        </w:rPr>
      </w:pPr>
      <w:r>
        <w:rPr>
          <w:rFonts w:hint="eastAsia" w:ascii="Times New Roman" w:hAnsi="Times New Roman" w:eastAsia="华文中宋" w:cs="Times New Roman"/>
          <w:color w:val="auto"/>
          <w:sz w:val="28"/>
          <w:szCs w:val="20"/>
          <w:highlight w:val="none"/>
          <w:lang w:val="en-US" w:eastAsia="zh-CN"/>
        </w:rPr>
        <w:t>表5 部门整体支出绩效评价人员汇总表</w:t>
      </w:r>
    </w:p>
    <w:tbl>
      <w:tblPr>
        <w:tblStyle w:val="22"/>
        <w:tblW w:w="8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27"/>
        <w:gridCol w:w="2267"/>
        <w:gridCol w:w="2486"/>
        <w:gridCol w:w="2258"/>
      </w:tblGrid>
      <w:tr w14:paraId="39505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5" w:hRule="exact"/>
          <w:jc w:val="center"/>
        </w:trPr>
        <w:tc>
          <w:tcPr>
            <w:tcW w:w="1527" w:type="dxa"/>
            <w:shd w:val="clear" w:color="auto" w:fill="auto"/>
            <w:noWrap w:val="0"/>
            <w:vAlign w:val="center"/>
          </w:tcPr>
          <w:p w14:paraId="2B6E8F41">
            <w:pPr>
              <w:keepNext w:val="0"/>
              <w:keepLines w:val="0"/>
              <w:widowControl/>
              <w:suppressLineNumbers w:val="0"/>
              <w:spacing w:line="240" w:lineRule="auto"/>
              <w:ind w:left="0" w:leftChars="0" w:firstLine="0" w:firstLineChars="0"/>
              <w:jc w:val="center"/>
              <w:textAlignment w:val="center"/>
              <w:rPr>
                <w:rFonts w:hint="eastAsia" w:ascii="Times New Roman" w:hAnsi="Times New Roman" w:cs="Times New Roman"/>
                <w:b/>
                <w:bCs/>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姓名</w:t>
            </w:r>
          </w:p>
        </w:tc>
        <w:tc>
          <w:tcPr>
            <w:tcW w:w="2267" w:type="dxa"/>
            <w:shd w:val="clear" w:color="auto" w:fill="auto"/>
            <w:noWrap w:val="0"/>
            <w:vAlign w:val="center"/>
          </w:tcPr>
          <w:p w14:paraId="1AD857A7">
            <w:pPr>
              <w:keepNext w:val="0"/>
              <w:keepLines w:val="0"/>
              <w:widowControl/>
              <w:suppressLineNumbers w:val="0"/>
              <w:spacing w:line="240" w:lineRule="auto"/>
              <w:ind w:left="0" w:leftChars="0" w:firstLine="0" w:firstLineChars="0"/>
              <w:jc w:val="center"/>
              <w:textAlignment w:val="center"/>
              <w:rPr>
                <w:rFonts w:hint="eastAsia" w:ascii="Times New Roman" w:hAnsi="Times New Roman" w:cs="Times New Roman"/>
                <w:b/>
                <w:bCs/>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职称</w:t>
            </w:r>
          </w:p>
        </w:tc>
        <w:tc>
          <w:tcPr>
            <w:tcW w:w="2486" w:type="dxa"/>
            <w:shd w:val="clear" w:color="auto" w:fill="auto"/>
            <w:noWrap w:val="0"/>
            <w:vAlign w:val="center"/>
          </w:tcPr>
          <w:p w14:paraId="1E0D72C3">
            <w:pPr>
              <w:keepNext w:val="0"/>
              <w:keepLines w:val="0"/>
              <w:widowControl/>
              <w:suppressLineNumbers w:val="0"/>
              <w:spacing w:line="240" w:lineRule="auto"/>
              <w:ind w:left="0" w:leftChars="0" w:firstLine="0" w:firstLineChars="0"/>
              <w:jc w:val="center"/>
              <w:textAlignment w:val="center"/>
              <w:rPr>
                <w:rFonts w:hint="eastAsia" w:ascii="Times New Roman" w:hAnsi="Times New Roman" w:cs="Times New Roman"/>
                <w:b/>
                <w:bCs/>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职责</w:t>
            </w:r>
          </w:p>
        </w:tc>
        <w:tc>
          <w:tcPr>
            <w:tcW w:w="2258" w:type="dxa"/>
            <w:shd w:val="clear" w:color="auto" w:fill="auto"/>
            <w:noWrap w:val="0"/>
            <w:vAlign w:val="center"/>
          </w:tcPr>
          <w:p w14:paraId="47F0E173">
            <w:pPr>
              <w:keepNext w:val="0"/>
              <w:keepLines w:val="0"/>
              <w:widowControl/>
              <w:suppressLineNumbers w:val="0"/>
              <w:spacing w:line="240" w:lineRule="auto"/>
              <w:ind w:left="0" w:leftChars="0" w:firstLine="0" w:firstLineChars="0"/>
              <w:jc w:val="center"/>
              <w:textAlignment w:val="center"/>
              <w:rPr>
                <w:rFonts w:hint="eastAsia" w:ascii="Times New Roman" w:hAnsi="Times New Roman" w:cs="Times New Roman"/>
                <w:b/>
                <w:bCs/>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专业</w:t>
            </w:r>
          </w:p>
        </w:tc>
      </w:tr>
      <w:tr w14:paraId="7A638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8" w:hRule="exact"/>
          <w:jc w:val="center"/>
        </w:trPr>
        <w:tc>
          <w:tcPr>
            <w:tcW w:w="1527" w:type="dxa"/>
            <w:shd w:val="clear" w:color="auto" w:fill="auto"/>
            <w:noWrap w:val="0"/>
            <w:vAlign w:val="center"/>
          </w:tcPr>
          <w:p w14:paraId="22E130FF">
            <w:pPr>
              <w:keepNext w:val="0"/>
              <w:keepLines w:val="0"/>
              <w:widowControl/>
              <w:suppressLineNumbers w:val="0"/>
              <w:spacing w:line="240" w:lineRule="auto"/>
              <w:ind w:left="0" w:leftChars="0" w:firstLine="0" w:firstLineChars="0"/>
              <w:jc w:val="center"/>
              <w:textAlignment w:val="center"/>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李贤浩</w:t>
            </w:r>
          </w:p>
        </w:tc>
        <w:tc>
          <w:tcPr>
            <w:tcW w:w="2267" w:type="dxa"/>
            <w:shd w:val="clear" w:color="auto" w:fill="auto"/>
            <w:noWrap w:val="0"/>
            <w:vAlign w:val="center"/>
          </w:tcPr>
          <w:p w14:paraId="1010B898">
            <w:pPr>
              <w:keepNext w:val="0"/>
              <w:keepLines w:val="0"/>
              <w:widowControl/>
              <w:suppressLineNumbers w:val="0"/>
              <w:spacing w:line="240" w:lineRule="auto"/>
              <w:ind w:left="0" w:leftChars="0" w:firstLine="0" w:firstLineChars="0"/>
              <w:jc w:val="center"/>
              <w:textAlignment w:val="center"/>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社会工作师（中级）</w:t>
            </w:r>
          </w:p>
        </w:tc>
        <w:tc>
          <w:tcPr>
            <w:tcW w:w="2486" w:type="dxa"/>
            <w:shd w:val="clear" w:color="auto" w:fill="auto"/>
            <w:noWrap w:val="0"/>
            <w:vAlign w:val="center"/>
          </w:tcPr>
          <w:p w14:paraId="2A6037C5">
            <w:pPr>
              <w:keepNext w:val="0"/>
              <w:keepLines w:val="0"/>
              <w:widowControl/>
              <w:suppressLineNumbers w:val="0"/>
              <w:spacing w:line="240" w:lineRule="auto"/>
              <w:ind w:left="0" w:leftChars="0" w:firstLine="0" w:firstLineChars="0"/>
              <w:jc w:val="center"/>
              <w:textAlignment w:val="center"/>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项目负责人、绩效专家</w:t>
            </w:r>
          </w:p>
        </w:tc>
        <w:tc>
          <w:tcPr>
            <w:tcW w:w="2258" w:type="dxa"/>
            <w:shd w:val="clear" w:color="auto" w:fill="auto"/>
            <w:noWrap w:val="0"/>
            <w:vAlign w:val="center"/>
          </w:tcPr>
          <w:p w14:paraId="25F1E829">
            <w:pPr>
              <w:keepNext w:val="0"/>
              <w:keepLines w:val="0"/>
              <w:widowControl/>
              <w:suppressLineNumbers w:val="0"/>
              <w:spacing w:line="240" w:lineRule="auto"/>
              <w:ind w:left="0" w:leftChars="0" w:firstLine="0" w:firstLineChars="0"/>
              <w:jc w:val="center"/>
              <w:textAlignment w:val="center"/>
              <w:rPr>
                <w:rFonts w:hint="default"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公共管理、临床医学</w:t>
            </w:r>
          </w:p>
        </w:tc>
      </w:tr>
      <w:tr w14:paraId="6D3F0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8" w:hRule="exact"/>
          <w:jc w:val="center"/>
        </w:trPr>
        <w:tc>
          <w:tcPr>
            <w:tcW w:w="1527" w:type="dxa"/>
            <w:shd w:val="clear" w:color="auto" w:fill="auto"/>
            <w:noWrap w:val="0"/>
            <w:vAlign w:val="center"/>
          </w:tcPr>
          <w:p w14:paraId="75F7CA76">
            <w:pPr>
              <w:keepNext w:val="0"/>
              <w:keepLines w:val="0"/>
              <w:widowControl/>
              <w:suppressLineNumbers w:val="0"/>
              <w:spacing w:line="240" w:lineRule="auto"/>
              <w:ind w:left="0" w:leftChars="0" w:firstLine="0" w:firstLineChars="0"/>
              <w:jc w:val="center"/>
              <w:textAlignment w:val="center"/>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招啟宇</w:t>
            </w:r>
          </w:p>
        </w:tc>
        <w:tc>
          <w:tcPr>
            <w:tcW w:w="2267" w:type="dxa"/>
            <w:shd w:val="clear" w:color="auto" w:fill="auto"/>
            <w:noWrap w:val="0"/>
            <w:vAlign w:val="center"/>
          </w:tcPr>
          <w:p w14:paraId="1892DFA5">
            <w:pPr>
              <w:keepNext w:val="0"/>
              <w:keepLines w:val="0"/>
              <w:widowControl/>
              <w:suppressLineNumbers w:val="0"/>
              <w:spacing w:line="240" w:lineRule="auto"/>
              <w:ind w:left="0" w:leftChars="0" w:firstLine="0" w:firstLineChars="0"/>
              <w:jc w:val="center"/>
              <w:textAlignment w:val="center"/>
              <w:rPr>
                <w:rFonts w:hint="default"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会计师（中级）</w:t>
            </w:r>
          </w:p>
        </w:tc>
        <w:tc>
          <w:tcPr>
            <w:tcW w:w="2486" w:type="dxa"/>
            <w:shd w:val="clear" w:color="auto" w:fill="auto"/>
            <w:noWrap w:val="0"/>
            <w:vAlign w:val="center"/>
          </w:tcPr>
          <w:p w14:paraId="198590BC">
            <w:pPr>
              <w:keepNext w:val="0"/>
              <w:keepLines w:val="0"/>
              <w:widowControl/>
              <w:suppressLineNumbers w:val="0"/>
              <w:spacing w:line="240" w:lineRule="auto"/>
              <w:ind w:left="0" w:leftChars="0" w:firstLine="0" w:firstLineChars="0"/>
              <w:jc w:val="center"/>
              <w:textAlignment w:val="center"/>
              <w:rPr>
                <w:rFonts w:hint="default"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财务专家、绩效专家</w:t>
            </w:r>
          </w:p>
        </w:tc>
        <w:tc>
          <w:tcPr>
            <w:tcW w:w="2258" w:type="dxa"/>
            <w:shd w:val="clear" w:color="auto" w:fill="auto"/>
            <w:noWrap w:val="0"/>
            <w:vAlign w:val="center"/>
          </w:tcPr>
          <w:p w14:paraId="3E93044A">
            <w:pPr>
              <w:keepNext w:val="0"/>
              <w:keepLines w:val="0"/>
              <w:widowControl/>
              <w:suppressLineNumbers w:val="0"/>
              <w:spacing w:line="240" w:lineRule="auto"/>
              <w:ind w:left="0" w:leftChars="0" w:firstLine="0" w:firstLineChars="0"/>
              <w:jc w:val="center"/>
              <w:textAlignment w:val="center"/>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会计</w:t>
            </w:r>
          </w:p>
        </w:tc>
      </w:tr>
      <w:tr w14:paraId="2B496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exact"/>
          <w:jc w:val="center"/>
        </w:trPr>
        <w:tc>
          <w:tcPr>
            <w:tcW w:w="1527" w:type="dxa"/>
            <w:shd w:val="clear" w:color="auto" w:fill="auto"/>
            <w:noWrap w:val="0"/>
            <w:vAlign w:val="center"/>
          </w:tcPr>
          <w:p w14:paraId="6DDEF6EB">
            <w:pPr>
              <w:keepNext w:val="0"/>
              <w:keepLines w:val="0"/>
              <w:widowControl/>
              <w:suppressLineNumbers w:val="0"/>
              <w:spacing w:line="240" w:lineRule="auto"/>
              <w:ind w:left="0" w:leftChars="0" w:firstLine="0" w:firstLineChars="0"/>
              <w:jc w:val="center"/>
              <w:textAlignment w:val="center"/>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韦晓强</w:t>
            </w:r>
          </w:p>
        </w:tc>
        <w:tc>
          <w:tcPr>
            <w:tcW w:w="2267" w:type="dxa"/>
            <w:shd w:val="clear" w:color="auto" w:fill="auto"/>
            <w:noWrap w:val="0"/>
            <w:vAlign w:val="center"/>
          </w:tcPr>
          <w:p w14:paraId="0A560CC0">
            <w:pPr>
              <w:keepNext w:val="0"/>
              <w:keepLines w:val="0"/>
              <w:widowControl/>
              <w:suppressLineNumbers w:val="0"/>
              <w:spacing w:line="240" w:lineRule="auto"/>
              <w:ind w:left="0" w:leftChars="0" w:firstLine="0" w:firstLineChars="0"/>
              <w:jc w:val="center"/>
              <w:textAlignment w:val="center"/>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会计师（中级）</w:t>
            </w:r>
          </w:p>
        </w:tc>
        <w:tc>
          <w:tcPr>
            <w:tcW w:w="2486" w:type="dxa"/>
            <w:shd w:val="clear" w:color="auto" w:fill="auto"/>
            <w:noWrap w:val="0"/>
            <w:vAlign w:val="center"/>
          </w:tcPr>
          <w:p w14:paraId="6DE73239">
            <w:pPr>
              <w:keepNext w:val="0"/>
              <w:keepLines w:val="0"/>
              <w:widowControl/>
              <w:suppressLineNumbers w:val="0"/>
              <w:spacing w:line="240" w:lineRule="auto"/>
              <w:ind w:left="0" w:leftChars="0" w:firstLine="0" w:firstLineChars="0"/>
              <w:jc w:val="center"/>
              <w:textAlignment w:val="center"/>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财务专家、绩效专家</w:t>
            </w:r>
          </w:p>
        </w:tc>
        <w:tc>
          <w:tcPr>
            <w:tcW w:w="2258" w:type="dxa"/>
            <w:shd w:val="clear" w:color="auto" w:fill="auto"/>
            <w:noWrap w:val="0"/>
            <w:vAlign w:val="center"/>
          </w:tcPr>
          <w:p w14:paraId="777728B2">
            <w:pPr>
              <w:keepNext w:val="0"/>
              <w:keepLines w:val="0"/>
              <w:widowControl/>
              <w:suppressLineNumbers w:val="0"/>
              <w:spacing w:line="240" w:lineRule="auto"/>
              <w:ind w:left="0" w:leftChars="0" w:firstLine="0" w:firstLineChars="0"/>
              <w:jc w:val="center"/>
              <w:textAlignment w:val="center"/>
              <w:rPr>
                <w:rFonts w:hint="default"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评估、会计</w:t>
            </w:r>
          </w:p>
        </w:tc>
      </w:tr>
    </w:tbl>
    <w:p w14:paraId="12E27F1A">
      <w:pPr>
        <w:spacing w:line="360" w:lineRule="auto"/>
        <w:rPr>
          <w:rFonts w:ascii="Times New Roman" w:hAnsi="Times New Roman" w:eastAsia="仿宋_GB2312" w:cs="Times New Roman"/>
          <w:color w:val="auto"/>
          <w:sz w:val="32"/>
          <w:szCs w:val="32"/>
          <w:highlight w:val="none"/>
        </w:rPr>
        <w:sectPr>
          <w:footerReference r:id="rId8" w:type="default"/>
          <w:pgSz w:w="11906" w:h="16838"/>
          <w:pgMar w:top="1440" w:right="1800" w:bottom="1440" w:left="1800" w:header="851" w:footer="992" w:gutter="0"/>
          <w:pgNumType w:fmt="decimal"/>
          <w:cols w:space="720" w:num="1"/>
          <w:docGrid w:type="lines" w:linePitch="312" w:charSpace="0"/>
        </w:sectPr>
      </w:pPr>
    </w:p>
    <w:p w14:paraId="4C698E48">
      <w:pPr>
        <w:spacing w:before="312" w:beforeLines="100" w:line="360" w:lineRule="auto"/>
        <w:ind w:left="0" w:leftChars="0" w:firstLine="0" w:firstLineChars="0"/>
        <w:jc w:val="left"/>
        <w:outlineLvl w:val="0"/>
        <w:rPr>
          <w:rFonts w:hint="eastAsia" w:ascii="楷体_GB2312" w:hAnsi="楷体_GB2312" w:eastAsia="楷体_GB2312" w:cs="楷体_GB2312"/>
          <w:b/>
          <w:bCs/>
          <w:color w:val="auto"/>
          <w:sz w:val="32"/>
          <w:szCs w:val="32"/>
          <w:highlight w:val="none"/>
        </w:rPr>
      </w:pPr>
      <w:bookmarkStart w:id="115" w:name="_Toc31014"/>
      <w:bookmarkStart w:id="116" w:name="_Toc8118"/>
      <w:bookmarkStart w:id="117" w:name="_Toc17518"/>
      <w:bookmarkStart w:id="118" w:name="_Toc20247"/>
      <w:bookmarkStart w:id="119" w:name="_Toc11128"/>
      <w:bookmarkStart w:id="120" w:name="_Toc8225"/>
      <w:r>
        <w:rPr>
          <w:rFonts w:hint="eastAsia" w:ascii="楷体_GB2312" w:hAnsi="楷体_GB2312" w:eastAsia="楷体_GB2312" w:cs="楷体_GB2312"/>
          <w:b/>
          <w:bCs/>
          <w:color w:val="auto"/>
          <w:sz w:val="32"/>
          <w:szCs w:val="32"/>
          <w:highlight w:val="none"/>
        </w:rPr>
        <w:t>附件2：</w:t>
      </w:r>
      <w:bookmarkEnd w:id="115"/>
    </w:p>
    <w:p w14:paraId="59DCB850">
      <w:pPr>
        <w:autoSpaceDE w:val="0"/>
        <w:autoSpaceDN w:val="0"/>
        <w:adjustRightInd w:val="0"/>
        <w:snapToGrid w:val="0"/>
        <w:spacing w:line="288" w:lineRule="auto"/>
        <w:ind w:left="0" w:leftChars="0" w:firstLine="0" w:firstLineChars="0"/>
        <w:jc w:val="center"/>
        <w:outlineLvl w:val="0"/>
        <w:rPr>
          <w:rFonts w:hint="eastAsia" w:ascii="华文中宋" w:hAnsi="华文中宋" w:eastAsia="华文中宋" w:cs="Times New Roman"/>
          <w:color w:val="auto"/>
          <w:sz w:val="36"/>
          <w:szCs w:val="36"/>
          <w:highlight w:val="none"/>
        </w:rPr>
      </w:pPr>
      <w:bookmarkStart w:id="121" w:name="_Toc11572"/>
      <w:bookmarkStart w:id="122" w:name="_Toc10651"/>
      <w:r>
        <w:rPr>
          <w:rFonts w:hint="default" w:ascii="华文中宋" w:hAnsi="华文中宋" w:eastAsia="华文中宋" w:cs="Times New Roman"/>
          <w:color w:val="auto"/>
          <w:sz w:val="36"/>
          <w:szCs w:val="36"/>
          <w:highlight w:val="none"/>
        </w:rPr>
        <w:t>梅江区西郊街道办事处</w:t>
      </w:r>
      <w:r>
        <w:rPr>
          <w:rFonts w:hint="eastAsia" w:ascii="华文中宋" w:hAnsi="华文中宋" w:eastAsia="华文中宋" w:cs="Times New Roman"/>
          <w:color w:val="auto"/>
          <w:sz w:val="36"/>
          <w:szCs w:val="36"/>
          <w:highlight w:val="none"/>
        </w:rPr>
        <w:t>部门整体满意度调查问卷</w:t>
      </w:r>
      <w:bookmarkEnd w:id="121"/>
      <w:bookmarkEnd w:id="122"/>
    </w:p>
    <w:p w14:paraId="18099AA9">
      <w:pPr>
        <w:keepNext w:val="0"/>
        <w:keepLines w:val="0"/>
        <w:pageBreakBefore w:val="0"/>
        <w:widowControl w:val="0"/>
        <w:kinsoku/>
        <w:wordWrap/>
        <w:overflowPunct/>
        <w:topLinePunct w:val="0"/>
        <w:autoSpaceDE/>
        <w:autoSpaceDN/>
        <w:bidi w:val="0"/>
        <w:adjustRightInd/>
        <w:snapToGrid w:val="0"/>
        <w:spacing w:line="240" w:lineRule="auto"/>
        <w:ind w:left="0" w:leftChars="0" w:firstLine="640" w:firstLineChars="200"/>
        <w:textAlignment w:val="auto"/>
        <w:outlineLvl w:val="1"/>
        <w:rPr>
          <w:rFonts w:hint="eastAsia" w:ascii="Times New Roman" w:hAnsi="Times New Roman" w:eastAsia="仿宋_GB2312" w:cs="Times New Roman"/>
          <w:b w:val="0"/>
          <w:bCs w:val="0"/>
          <w:color w:val="auto"/>
          <w:sz w:val="32"/>
          <w:szCs w:val="21"/>
          <w:highlight w:val="none"/>
          <w:lang w:val="en-US" w:eastAsia="zh-CN"/>
        </w:rPr>
      </w:pPr>
      <w:bookmarkStart w:id="123" w:name="_Toc19878"/>
      <w:r>
        <w:rPr>
          <w:rFonts w:hint="eastAsia" w:ascii="Times New Roman" w:hAnsi="Times New Roman" w:eastAsia="仿宋_GB2312" w:cs="Times New Roman"/>
          <w:b w:val="0"/>
          <w:bCs w:val="0"/>
          <w:color w:val="auto"/>
          <w:sz w:val="32"/>
          <w:szCs w:val="21"/>
          <w:highlight w:val="none"/>
          <w:lang w:val="en-US" w:eastAsia="zh-CN"/>
        </w:rPr>
        <w:t>您好！为做好财政资金绩效评价，了解社会公众对部门工作的意见及建议，现开展满意度调研。对于您的问卷内容我们将严格予以保密，您所提供的意见仅用于统计分析，谢谢您的合作！</w:t>
      </w:r>
      <w:bookmarkEnd w:id="123"/>
    </w:p>
    <w:p w14:paraId="1C61C8C6">
      <w:pPr>
        <w:snapToGrid/>
        <w:spacing w:line="560" w:lineRule="exact"/>
        <w:ind w:firstLine="640" w:firstLineChars="200"/>
        <w:jc w:val="left"/>
        <w:rPr>
          <w:rFonts w:hint="eastAsia" w:ascii="Calibri" w:hAnsi="Calibri" w:eastAsia="仿宋_GB2312" w:cs="Calibri"/>
          <w:color w:val="auto"/>
          <w:sz w:val="32"/>
          <w:szCs w:val="20"/>
          <w:highlight w:val="none"/>
        </w:rPr>
      </w:pPr>
    </w:p>
    <w:p w14:paraId="5E7F5C5D">
      <w:pPr>
        <w:keepNext w:val="0"/>
        <w:keepLines w:val="0"/>
        <w:pageBreakBefore w:val="0"/>
        <w:widowControl w:val="0"/>
        <w:kinsoku/>
        <w:wordWrap/>
        <w:overflowPunct/>
        <w:topLinePunct w:val="0"/>
        <w:autoSpaceDE/>
        <w:autoSpaceDN/>
        <w:bidi w:val="0"/>
        <w:adjustRightInd/>
        <w:snapToGrid w:val="0"/>
        <w:spacing w:line="600" w:lineRule="exact"/>
        <w:ind w:left="0" w:leftChars="0" w:firstLine="643" w:firstLineChars="200"/>
        <w:textAlignment w:val="auto"/>
        <w:outlineLvl w:val="1"/>
        <w:rPr>
          <w:rFonts w:hint="default" w:ascii="Times New Roman" w:hAnsi="Times New Roman" w:eastAsia="仿宋_GB2312" w:cs="Times New Roman"/>
          <w:b/>
          <w:bCs/>
          <w:color w:val="auto"/>
          <w:sz w:val="32"/>
          <w:szCs w:val="21"/>
          <w:highlight w:val="none"/>
          <w:lang w:val="en-US" w:eastAsia="zh-CN"/>
        </w:rPr>
      </w:pPr>
      <w:bookmarkStart w:id="124" w:name="_Toc24557"/>
      <w:r>
        <w:rPr>
          <w:rFonts w:hint="default" w:ascii="Times New Roman" w:hAnsi="Times New Roman" w:eastAsia="仿宋_GB2312" w:cs="Times New Roman"/>
          <w:b/>
          <w:bCs/>
          <w:color w:val="auto"/>
          <w:sz w:val="32"/>
          <w:szCs w:val="21"/>
          <w:highlight w:val="none"/>
          <w:lang w:val="en-US" w:eastAsia="zh-CN"/>
        </w:rPr>
        <w:t>1</w:t>
      </w:r>
      <w:r>
        <w:rPr>
          <w:rFonts w:hint="eastAsia" w:ascii="Calibri" w:hAnsi="Calibri" w:eastAsia="仿宋_GB2312" w:cs="Calibri"/>
          <w:b/>
          <w:bCs/>
          <w:color w:val="auto"/>
          <w:sz w:val="32"/>
          <w:szCs w:val="21"/>
          <w:highlight w:val="none"/>
          <w:lang w:val="en-US" w:eastAsia="zh-CN"/>
        </w:rPr>
        <w:t xml:space="preserve">.您的姓名                 </w:t>
      </w:r>
      <w:r>
        <w:rPr>
          <w:rFonts w:hint="eastAsia" w:ascii="Times New Roman" w:hAnsi="Times New Roman" w:eastAsia="仿宋_GB2312" w:cs="Times New Roman"/>
          <w:b/>
          <w:bCs/>
          <w:color w:val="auto"/>
          <w:sz w:val="32"/>
          <w:szCs w:val="21"/>
          <w:highlight w:val="none"/>
          <w:lang w:val="en-US" w:eastAsia="zh-CN"/>
        </w:rPr>
        <w:t>2.您的联系方式</w:t>
      </w:r>
      <w:bookmarkEnd w:id="124"/>
      <w:r>
        <w:rPr>
          <w:rFonts w:hint="eastAsia" w:ascii="Times New Roman" w:hAnsi="Times New Roman" w:eastAsia="仿宋_GB2312" w:cs="Times New Roman"/>
          <w:b/>
          <w:bCs/>
          <w:color w:val="auto"/>
          <w:sz w:val="32"/>
          <w:szCs w:val="21"/>
          <w:highlight w:val="none"/>
          <w:lang w:val="en-US" w:eastAsia="zh-CN"/>
        </w:rPr>
        <w:t xml:space="preserve">                 </w:t>
      </w:r>
    </w:p>
    <w:p w14:paraId="5B8DC85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Calibri" w:hAnsi="Calibri" w:eastAsia="仿宋_GB2312" w:cs="Calibri"/>
          <w:color w:val="auto"/>
          <w:sz w:val="32"/>
          <w:szCs w:val="20"/>
          <w:highlight w:val="none"/>
        </w:rPr>
      </w:pPr>
    </w:p>
    <w:p w14:paraId="165684F4">
      <w:pPr>
        <w:keepNext w:val="0"/>
        <w:keepLines w:val="0"/>
        <w:pageBreakBefore w:val="0"/>
        <w:widowControl w:val="0"/>
        <w:kinsoku/>
        <w:wordWrap/>
        <w:overflowPunct/>
        <w:topLinePunct w:val="0"/>
        <w:autoSpaceDE/>
        <w:autoSpaceDN/>
        <w:bidi w:val="0"/>
        <w:adjustRightInd/>
        <w:snapToGrid w:val="0"/>
        <w:spacing w:line="600" w:lineRule="exact"/>
        <w:ind w:left="0" w:leftChars="0" w:firstLine="643" w:firstLineChars="200"/>
        <w:textAlignment w:val="auto"/>
        <w:outlineLvl w:val="1"/>
        <w:rPr>
          <w:rFonts w:hint="eastAsia" w:ascii="Times New Roman" w:hAnsi="Times New Roman" w:eastAsia="仿宋_GB2312" w:cs="Times New Roman"/>
          <w:b/>
          <w:bCs/>
          <w:color w:val="auto"/>
          <w:sz w:val="32"/>
          <w:szCs w:val="21"/>
          <w:highlight w:val="none"/>
          <w:lang w:val="en-US" w:eastAsia="zh-CN"/>
        </w:rPr>
      </w:pPr>
      <w:bookmarkStart w:id="125" w:name="_Toc4593"/>
      <w:r>
        <w:rPr>
          <w:rFonts w:hint="eastAsia" w:ascii="Times New Roman" w:hAnsi="Times New Roman" w:eastAsia="仿宋_GB2312" w:cs="Times New Roman"/>
          <w:b/>
          <w:bCs/>
          <w:color w:val="auto"/>
          <w:sz w:val="32"/>
          <w:szCs w:val="21"/>
          <w:highlight w:val="none"/>
          <w:lang w:val="en-US" w:eastAsia="zh-CN"/>
        </w:rPr>
        <w:t>3.您的身份是：</w:t>
      </w:r>
      <w:bookmarkEnd w:id="125"/>
    </w:p>
    <w:p w14:paraId="1822CFB3">
      <w:pPr>
        <w:keepNext w:val="0"/>
        <w:keepLines w:val="0"/>
        <w:pageBreakBefore w:val="0"/>
        <w:widowControl w:val="0"/>
        <w:kinsoku/>
        <w:wordWrap/>
        <w:overflowPunct/>
        <w:topLinePunct w:val="0"/>
        <w:autoSpaceDE/>
        <w:autoSpaceDN/>
        <w:bidi w:val="0"/>
        <w:adjustRightInd/>
        <w:snapToGrid w:val="0"/>
        <w:spacing w:line="240" w:lineRule="auto"/>
        <w:ind w:left="0" w:leftChars="0" w:firstLine="640" w:firstLineChars="200"/>
        <w:textAlignment w:val="auto"/>
        <w:outlineLvl w:val="1"/>
        <w:rPr>
          <w:rFonts w:hint="eastAsia" w:ascii="Times New Roman" w:hAnsi="Times New Roman" w:eastAsia="仿宋_GB2312" w:cs="Times New Roman"/>
          <w:b w:val="0"/>
          <w:bCs w:val="0"/>
          <w:color w:val="auto"/>
          <w:sz w:val="32"/>
          <w:szCs w:val="21"/>
          <w:highlight w:val="none"/>
          <w:lang w:val="en-US" w:eastAsia="zh-CN"/>
        </w:rPr>
      </w:pPr>
      <w:bookmarkStart w:id="126" w:name="_Toc13901"/>
      <w:r>
        <w:rPr>
          <w:rFonts w:hint="eastAsia" w:ascii="Times New Roman" w:hAnsi="Times New Roman" w:eastAsia="仿宋_GB2312" w:cs="Times New Roman"/>
          <w:b w:val="0"/>
          <w:bCs w:val="0"/>
          <w:color w:val="auto"/>
          <w:sz w:val="32"/>
          <w:szCs w:val="21"/>
          <w:highlight w:val="none"/>
          <w:lang w:val="en-US" w:eastAsia="zh-CN"/>
        </w:rPr>
        <w:t>A.居民群众</w:t>
      </w:r>
      <w:bookmarkEnd w:id="126"/>
    </w:p>
    <w:p w14:paraId="450CFB90">
      <w:pPr>
        <w:keepNext w:val="0"/>
        <w:keepLines w:val="0"/>
        <w:pageBreakBefore w:val="0"/>
        <w:widowControl w:val="0"/>
        <w:kinsoku/>
        <w:wordWrap/>
        <w:overflowPunct/>
        <w:topLinePunct w:val="0"/>
        <w:autoSpaceDE/>
        <w:autoSpaceDN/>
        <w:bidi w:val="0"/>
        <w:adjustRightInd/>
        <w:snapToGrid w:val="0"/>
        <w:spacing w:line="240" w:lineRule="auto"/>
        <w:ind w:left="0" w:leftChars="0" w:firstLine="640" w:firstLineChars="200"/>
        <w:textAlignment w:val="auto"/>
        <w:outlineLvl w:val="1"/>
        <w:rPr>
          <w:rFonts w:hint="eastAsia" w:ascii="Times New Roman" w:hAnsi="Times New Roman" w:eastAsia="仿宋_GB2312" w:cs="Times New Roman"/>
          <w:b w:val="0"/>
          <w:bCs w:val="0"/>
          <w:color w:val="auto"/>
          <w:sz w:val="32"/>
          <w:szCs w:val="21"/>
          <w:highlight w:val="none"/>
          <w:lang w:val="en-US" w:eastAsia="zh-CN"/>
        </w:rPr>
      </w:pPr>
      <w:bookmarkStart w:id="127" w:name="_Toc31541"/>
      <w:r>
        <w:rPr>
          <w:rFonts w:hint="eastAsia" w:ascii="Times New Roman" w:hAnsi="Times New Roman" w:eastAsia="仿宋_GB2312" w:cs="Times New Roman"/>
          <w:b w:val="0"/>
          <w:bCs w:val="0"/>
          <w:color w:val="auto"/>
          <w:sz w:val="32"/>
          <w:szCs w:val="21"/>
          <w:highlight w:val="none"/>
          <w:lang w:val="en-US" w:eastAsia="zh-CN"/>
        </w:rPr>
        <w:t>B.辖区内企业负责人</w:t>
      </w:r>
      <w:bookmarkEnd w:id="127"/>
    </w:p>
    <w:p w14:paraId="0C1C1365">
      <w:pPr>
        <w:keepNext w:val="0"/>
        <w:keepLines w:val="0"/>
        <w:pageBreakBefore w:val="0"/>
        <w:widowControl w:val="0"/>
        <w:kinsoku/>
        <w:wordWrap/>
        <w:overflowPunct/>
        <w:topLinePunct w:val="0"/>
        <w:autoSpaceDE/>
        <w:autoSpaceDN/>
        <w:bidi w:val="0"/>
        <w:adjustRightInd/>
        <w:snapToGrid w:val="0"/>
        <w:spacing w:line="240" w:lineRule="auto"/>
        <w:ind w:left="0" w:leftChars="0" w:firstLine="640" w:firstLineChars="200"/>
        <w:textAlignment w:val="auto"/>
        <w:outlineLvl w:val="1"/>
        <w:rPr>
          <w:rFonts w:hint="eastAsia" w:ascii="Times New Roman" w:hAnsi="Times New Roman" w:eastAsia="仿宋_GB2312" w:cs="Times New Roman"/>
          <w:b w:val="0"/>
          <w:bCs w:val="0"/>
          <w:color w:val="auto"/>
          <w:sz w:val="32"/>
          <w:szCs w:val="21"/>
          <w:highlight w:val="none"/>
          <w:lang w:val="en-US" w:eastAsia="zh-CN"/>
        </w:rPr>
      </w:pPr>
      <w:bookmarkStart w:id="128" w:name="_Toc13048"/>
      <w:r>
        <w:rPr>
          <w:rFonts w:hint="eastAsia" w:ascii="Times New Roman" w:hAnsi="Times New Roman" w:eastAsia="仿宋_GB2312" w:cs="Times New Roman"/>
          <w:b w:val="0"/>
          <w:bCs w:val="0"/>
          <w:color w:val="auto"/>
          <w:sz w:val="32"/>
          <w:szCs w:val="21"/>
          <w:highlight w:val="none"/>
          <w:lang w:val="en-US" w:eastAsia="zh-CN"/>
        </w:rPr>
        <w:t>C.行政机关工作人员</w:t>
      </w:r>
      <w:bookmarkEnd w:id="128"/>
    </w:p>
    <w:p w14:paraId="6DC4D94B">
      <w:pPr>
        <w:keepNext w:val="0"/>
        <w:keepLines w:val="0"/>
        <w:pageBreakBefore w:val="0"/>
        <w:widowControl w:val="0"/>
        <w:kinsoku/>
        <w:wordWrap/>
        <w:overflowPunct/>
        <w:topLinePunct w:val="0"/>
        <w:autoSpaceDE/>
        <w:autoSpaceDN/>
        <w:bidi w:val="0"/>
        <w:adjustRightInd/>
        <w:snapToGrid w:val="0"/>
        <w:spacing w:line="240" w:lineRule="auto"/>
        <w:ind w:left="0" w:leftChars="0" w:firstLine="640" w:firstLineChars="200"/>
        <w:textAlignment w:val="auto"/>
        <w:outlineLvl w:val="1"/>
        <w:rPr>
          <w:rFonts w:hint="eastAsia" w:ascii="Times New Roman" w:hAnsi="Times New Roman" w:eastAsia="仿宋_GB2312" w:cs="Times New Roman"/>
          <w:b w:val="0"/>
          <w:bCs w:val="0"/>
          <w:color w:val="auto"/>
          <w:sz w:val="32"/>
          <w:szCs w:val="21"/>
          <w:highlight w:val="none"/>
          <w:lang w:val="en-US" w:eastAsia="zh-CN"/>
        </w:rPr>
      </w:pPr>
      <w:bookmarkStart w:id="129" w:name="_Toc25324"/>
      <w:r>
        <w:rPr>
          <w:rFonts w:hint="eastAsia" w:ascii="Times New Roman" w:hAnsi="Times New Roman" w:eastAsia="仿宋_GB2312" w:cs="Times New Roman"/>
          <w:b w:val="0"/>
          <w:bCs w:val="0"/>
          <w:color w:val="auto"/>
          <w:sz w:val="32"/>
          <w:szCs w:val="21"/>
          <w:highlight w:val="none"/>
          <w:lang w:val="en-US" w:eastAsia="zh-CN"/>
        </w:rPr>
        <w:t>D.其他</w:t>
      </w:r>
      <w:bookmarkEnd w:id="129"/>
    </w:p>
    <w:p w14:paraId="4A06522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Calibri" w:hAnsi="Calibri" w:eastAsia="仿宋_GB2312" w:cs="Calibri"/>
          <w:color w:val="auto"/>
          <w:sz w:val="32"/>
          <w:szCs w:val="20"/>
          <w:highlight w:val="none"/>
        </w:rPr>
      </w:pPr>
    </w:p>
    <w:p w14:paraId="6732F731">
      <w:pPr>
        <w:keepNext w:val="0"/>
        <w:keepLines w:val="0"/>
        <w:pageBreakBefore w:val="0"/>
        <w:widowControl w:val="0"/>
        <w:kinsoku/>
        <w:wordWrap/>
        <w:overflowPunct/>
        <w:topLinePunct w:val="0"/>
        <w:autoSpaceDE/>
        <w:autoSpaceDN/>
        <w:bidi w:val="0"/>
        <w:adjustRightInd/>
        <w:snapToGrid w:val="0"/>
        <w:spacing w:line="240" w:lineRule="auto"/>
        <w:ind w:left="0" w:leftChars="0" w:firstLine="643" w:firstLineChars="200"/>
        <w:textAlignment w:val="auto"/>
        <w:outlineLvl w:val="1"/>
        <w:rPr>
          <w:rFonts w:hint="eastAsia" w:ascii="Times New Roman" w:hAnsi="Times New Roman" w:eastAsia="仿宋_GB2312" w:cs="Times New Roman"/>
          <w:b/>
          <w:bCs/>
          <w:color w:val="auto"/>
          <w:sz w:val="32"/>
          <w:szCs w:val="21"/>
          <w:highlight w:val="none"/>
          <w:lang w:val="en-US" w:eastAsia="zh-CN"/>
        </w:rPr>
      </w:pPr>
      <w:bookmarkStart w:id="130" w:name="_Toc19780"/>
      <w:r>
        <w:rPr>
          <w:rFonts w:hint="eastAsia" w:ascii="Times New Roman" w:hAnsi="Times New Roman" w:eastAsia="仿宋_GB2312" w:cs="Times New Roman"/>
          <w:b/>
          <w:bCs/>
          <w:color w:val="auto"/>
          <w:sz w:val="32"/>
          <w:szCs w:val="21"/>
          <w:highlight w:val="none"/>
          <w:lang w:val="en-US" w:eastAsia="zh-CN"/>
        </w:rPr>
        <w:t>4.您认为该部门深入基层调查研究，倾听群众意见，掌握真实、准确情况方面做得如何：</w:t>
      </w:r>
      <w:bookmarkEnd w:id="130"/>
    </w:p>
    <w:p w14:paraId="3F30E028">
      <w:pPr>
        <w:keepNext w:val="0"/>
        <w:keepLines w:val="0"/>
        <w:pageBreakBefore w:val="0"/>
        <w:widowControl w:val="0"/>
        <w:kinsoku/>
        <w:wordWrap/>
        <w:overflowPunct/>
        <w:topLinePunct w:val="0"/>
        <w:autoSpaceDE/>
        <w:autoSpaceDN/>
        <w:bidi w:val="0"/>
        <w:adjustRightInd/>
        <w:snapToGrid w:val="0"/>
        <w:spacing w:line="240" w:lineRule="auto"/>
        <w:ind w:left="0" w:leftChars="0" w:firstLine="640" w:firstLineChars="200"/>
        <w:textAlignment w:val="auto"/>
        <w:outlineLvl w:val="1"/>
        <w:rPr>
          <w:rFonts w:hint="eastAsia" w:ascii="Times New Roman" w:hAnsi="Times New Roman" w:eastAsia="仿宋_GB2312" w:cs="Times New Roman"/>
          <w:b w:val="0"/>
          <w:bCs w:val="0"/>
          <w:color w:val="auto"/>
          <w:sz w:val="32"/>
          <w:szCs w:val="21"/>
          <w:highlight w:val="none"/>
          <w:lang w:val="en-US" w:eastAsia="zh-CN"/>
        </w:rPr>
      </w:pPr>
      <w:bookmarkStart w:id="131" w:name="_Toc24533"/>
      <w:r>
        <w:rPr>
          <w:rFonts w:hint="eastAsia" w:ascii="Times New Roman" w:hAnsi="Times New Roman" w:eastAsia="仿宋_GB2312" w:cs="Times New Roman"/>
          <w:b w:val="0"/>
          <w:bCs w:val="0"/>
          <w:color w:val="auto"/>
          <w:sz w:val="32"/>
          <w:szCs w:val="21"/>
          <w:highlight w:val="none"/>
          <w:lang w:val="en-US" w:eastAsia="zh-CN"/>
        </w:rPr>
        <w:t>A.非常满意</w:t>
      </w:r>
      <w:bookmarkEnd w:id="131"/>
    </w:p>
    <w:p w14:paraId="38F1F625">
      <w:pPr>
        <w:keepNext w:val="0"/>
        <w:keepLines w:val="0"/>
        <w:pageBreakBefore w:val="0"/>
        <w:widowControl w:val="0"/>
        <w:kinsoku/>
        <w:wordWrap/>
        <w:overflowPunct/>
        <w:topLinePunct w:val="0"/>
        <w:autoSpaceDE/>
        <w:autoSpaceDN/>
        <w:bidi w:val="0"/>
        <w:adjustRightInd/>
        <w:snapToGrid w:val="0"/>
        <w:spacing w:line="240" w:lineRule="auto"/>
        <w:ind w:left="0" w:leftChars="0" w:firstLine="640" w:firstLineChars="200"/>
        <w:textAlignment w:val="auto"/>
        <w:outlineLvl w:val="1"/>
        <w:rPr>
          <w:rFonts w:hint="eastAsia" w:ascii="Times New Roman" w:hAnsi="Times New Roman" w:eastAsia="仿宋_GB2312" w:cs="Times New Roman"/>
          <w:b w:val="0"/>
          <w:bCs w:val="0"/>
          <w:color w:val="auto"/>
          <w:sz w:val="32"/>
          <w:szCs w:val="21"/>
          <w:highlight w:val="none"/>
          <w:lang w:val="en-US" w:eastAsia="zh-CN"/>
        </w:rPr>
      </w:pPr>
      <w:bookmarkStart w:id="132" w:name="_Toc12998"/>
      <w:r>
        <w:rPr>
          <w:rFonts w:hint="eastAsia" w:ascii="Times New Roman" w:hAnsi="Times New Roman" w:eastAsia="仿宋_GB2312" w:cs="Times New Roman"/>
          <w:b w:val="0"/>
          <w:bCs w:val="0"/>
          <w:color w:val="auto"/>
          <w:sz w:val="32"/>
          <w:szCs w:val="21"/>
          <w:highlight w:val="none"/>
          <w:lang w:val="en-US" w:eastAsia="zh-CN"/>
        </w:rPr>
        <w:t>B.满意</w:t>
      </w:r>
      <w:bookmarkEnd w:id="132"/>
    </w:p>
    <w:p w14:paraId="2D8253B4">
      <w:pPr>
        <w:keepNext w:val="0"/>
        <w:keepLines w:val="0"/>
        <w:pageBreakBefore w:val="0"/>
        <w:widowControl w:val="0"/>
        <w:kinsoku/>
        <w:wordWrap/>
        <w:overflowPunct/>
        <w:topLinePunct w:val="0"/>
        <w:autoSpaceDE/>
        <w:autoSpaceDN/>
        <w:bidi w:val="0"/>
        <w:adjustRightInd/>
        <w:snapToGrid w:val="0"/>
        <w:spacing w:line="240" w:lineRule="auto"/>
        <w:ind w:left="0" w:leftChars="0" w:firstLine="640" w:firstLineChars="200"/>
        <w:textAlignment w:val="auto"/>
        <w:outlineLvl w:val="1"/>
        <w:rPr>
          <w:rFonts w:hint="eastAsia" w:ascii="Times New Roman" w:hAnsi="Times New Roman" w:eastAsia="仿宋_GB2312" w:cs="Times New Roman"/>
          <w:b w:val="0"/>
          <w:bCs w:val="0"/>
          <w:color w:val="auto"/>
          <w:sz w:val="32"/>
          <w:szCs w:val="21"/>
          <w:highlight w:val="none"/>
          <w:lang w:val="en-US" w:eastAsia="zh-CN"/>
        </w:rPr>
      </w:pPr>
      <w:bookmarkStart w:id="133" w:name="_Toc23477"/>
      <w:r>
        <w:rPr>
          <w:rFonts w:hint="eastAsia" w:ascii="Times New Roman" w:hAnsi="Times New Roman" w:eastAsia="仿宋_GB2312" w:cs="Times New Roman"/>
          <w:b w:val="0"/>
          <w:bCs w:val="0"/>
          <w:color w:val="auto"/>
          <w:sz w:val="32"/>
          <w:szCs w:val="21"/>
          <w:highlight w:val="none"/>
          <w:lang w:val="en-US" w:eastAsia="zh-CN"/>
        </w:rPr>
        <w:t>C.一般</w:t>
      </w:r>
      <w:bookmarkEnd w:id="133"/>
    </w:p>
    <w:p w14:paraId="60D82C8F">
      <w:pPr>
        <w:keepNext w:val="0"/>
        <w:keepLines w:val="0"/>
        <w:pageBreakBefore w:val="0"/>
        <w:widowControl w:val="0"/>
        <w:kinsoku/>
        <w:wordWrap/>
        <w:overflowPunct/>
        <w:topLinePunct w:val="0"/>
        <w:autoSpaceDE/>
        <w:autoSpaceDN/>
        <w:bidi w:val="0"/>
        <w:adjustRightInd/>
        <w:snapToGrid w:val="0"/>
        <w:spacing w:line="240" w:lineRule="auto"/>
        <w:ind w:left="0" w:leftChars="0" w:firstLine="640" w:firstLineChars="200"/>
        <w:textAlignment w:val="auto"/>
        <w:outlineLvl w:val="1"/>
        <w:rPr>
          <w:rFonts w:hint="eastAsia" w:ascii="Times New Roman" w:hAnsi="Times New Roman" w:eastAsia="仿宋_GB2312" w:cs="Times New Roman"/>
          <w:b w:val="0"/>
          <w:bCs w:val="0"/>
          <w:color w:val="auto"/>
          <w:sz w:val="32"/>
          <w:szCs w:val="21"/>
          <w:highlight w:val="none"/>
          <w:lang w:val="en-US" w:eastAsia="zh-CN"/>
        </w:rPr>
      </w:pPr>
      <w:bookmarkStart w:id="134" w:name="_Toc30355"/>
      <w:r>
        <w:rPr>
          <w:rFonts w:hint="eastAsia" w:ascii="Times New Roman" w:hAnsi="Times New Roman" w:eastAsia="仿宋_GB2312" w:cs="Times New Roman"/>
          <w:b w:val="0"/>
          <w:bCs w:val="0"/>
          <w:color w:val="auto"/>
          <w:sz w:val="32"/>
          <w:szCs w:val="21"/>
          <w:highlight w:val="none"/>
          <w:lang w:val="en-US" w:eastAsia="zh-CN"/>
        </w:rPr>
        <w:t>D.不满意</w:t>
      </w:r>
      <w:bookmarkEnd w:id="134"/>
    </w:p>
    <w:p w14:paraId="0F6600E0">
      <w:pPr>
        <w:keepNext w:val="0"/>
        <w:keepLines w:val="0"/>
        <w:pageBreakBefore w:val="0"/>
        <w:widowControl w:val="0"/>
        <w:kinsoku/>
        <w:wordWrap/>
        <w:overflowPunct/>
        <w:topLinePunct w:val="0"/>
        <w:autoSpaceDE/>
        <w:autoSpaceDN/>
        <w:bidi w:val="0"/>
        <w:adjustRightInd/>
        <w:snapToGrid w:val="0"/>
        <w:spacing w:line="240" w:lineRule="auto"/>
        <w:ind w:left="0" w:leftChars="0" w:firstLine="640" w:firstLineChars="200"/>
        <w:textAlignment w:val="auto"/>
        <w:outlineLvl w:val="1"/>
        <w:rPr>
          <w:rFonts w:hint="eastAsia" w:ascii="Times New Roman" w:hAnsi="Times New Roman" w:eastAsia="仿宋_GB2312" w:cs="Times New Roman"/>
          <w:b w:val="0"/>
          <w:bCs w:val="0"/>
          <w:color w:val="auto"/>
          <w:sz w:val="32"/>
          <w:szCs w:val="21"/>
          <w:highlight w:val="none"/>
          <w:lang w:val="en-US" w:eastAsia="zh-CN"/>
        </w:rPr>
      </w:pPr>
      <w:bookmarkStart w:id="135" w:name="_Toc13353"/>
      <w:r>
        <w:rPr>
          <w:rFonts w:hint="eastAsia" w:ascii="Times New Roman" w:hAnsi="Times New Roman" w:eastAsia="仿宋_GB2312" w:cs="Times New Roman"/>
          <w:b w:val="0"/>
          <w:bCs w:val="0"/>
          <w:color w:val="auto"/>
          <w:sz w:val="32"/>
          <w:szCs w:val="21"/>
          <w:highlight w:val="none"/>
          <w:lang w:val="en-US" w:eastAsia="zh-CN"/>
        </w:rPr>
        <w:t>E.很不满意</w:t>
      </w:r>
      <w:bookmarkEnd w:id="135"/>
    </w:p>
    <w:p w14:paraId="1449412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Calibri" w:hAnsi="Calibri" w:eastAsia="仿宋_GB2312" w:cs="Calibri"/>
          <w:color w:val="auto"/>
          <w:sz w:val="32"/>
          <w:szCs w:val="20"/>
          <w:highlight w:val="none"/>
        </w:rPr>
      </w:pPr>
    </w:p>
    <w:p w14:paraId="07C9BC66">
      <w:pPr>
        <w:keepNext w:val="0"/>
        <w:keepLines w:val="0"/>
        <w:pageBreakBefore w:val="0"/>
        <w:widowControl w:val="0"/>
        <w:kinsoku/>
        <w:wordWrap/>
        <w:overflowPunct/>
        <w:topLinePunct w:val="0"/>
        <w:autoSpaceDE/>
        <w:autoSpaceDN/>
        <w:bidi w:val="0"/>
        <w:adjustRightInd/>
        <w:snapToGrid w:val="0"/>
        <w:spacing w:line="240" w:lineRule="auto"/>
        <w:ind w:left="0" w:leftChars="0" w:firstLine="643" w:firstLineChars="200"/>
        <w:textAlignment w:val="auto"/>
        <w:outlineLvl w:val="1"/>
        <w:rPr>
          <w:rFonts w:hint="eastAsia" w:ascii="Times New Roman" w:hAnsi="Times New Roman" w:eastAsia="仿宋_GB2312" w:cs="Times New Roman"/>
          <w:b/>
          <w:bCs/>
          <w:color w:val="auto"/>
          <w:sz w:val="32"/>
          <w:szCs w:val="21"/>
          <w:highlight w:val="none"/>
          <w:lang w:val="en-US" w:eastAsia="zh-CN"/>
        </w:rPr>
      </w:pPr>
      <w:bookmarkStart w:id="136" w:name="_Toc9027"/>
      <w:r>
        <w:rPr>
          <w:rFonts w:hint="eastAsia" w:ascii="Times New Roman" w:hAnsi="Times New Roman" w:eastAsia="仿宋_GB2312" w:cs="Times New Roman"/>
          <w:b/>
          <w:bCs/>
          <w:color w:val="auto"/>
          <w:sz w:val="32"/>
          <w:szCs w:val="21"/>
          <w:highlight w:val="none"/>
          <w:lang w:val="en-US" w:eastAsia="zh-CN"/>
        </w:rPr>
        <w:t>5.您认为该部门在解决群众反映强烈的热点、难点、焦点问题方面做得如何：</w:t>
      </w:r>
      <w:bookmarkEnd w:id="136"/>
    </w:p>
    <w:p w14:paraId="0AD7A62F">
      <w:pPr>
        <w:keepNext w:val="0"/>
        <w:keepLines w:val="0"/>
        <w:pageBreakBefore w:val="0"/>
        <w:widowControl w:val="0"/>
        <w:kinsoku/>
        <w:wordWrap/>
        <w:overflowPunct/>
        <w:topLinePunct w:val="0"/>
        <w:autoSpaceDE/>
        <w:autoSpaceDN/>
        <w:bidi w:val="0"/>
        <w:adjustRightInd/>
        <w:snapToGrid w:val="0"/>
        <w:spacing w:line="240" w:lineRule="auto"/>
        <w:ind w:left="0" w:leftChars="0" w:firstLine="640" w:firstLineChars="200"/>
        <w:textAlignment w:val="auto"/>
        <w:outlineLvl w:val="1"/>
        <w:rPr>
          <w:rFonts w:hint="eastAsia" w:ascii="Times New Roman" w:hAnsi="Times New Roman" w:eastAsia="仿宋_GB2312" w:cs="Times New Roman"/>
          <w:b w:val="0"/>
          <w:bCs w:val="0"/>
          <w:color w:val="auto"/>
          <w:sz w:val="32"/>
          <w:szCs w:val="21"/>
          <w:highlight w:val="none"/>
          <w:lang w:val="en-US" w:eastAsia="zh-CN"/>
        </w:rPr>
      </w:pPr>
      <w:bookmarkStart w:id="137" w:name="_Toc10006"/>
      <w:r>
        <w:rPr>
          <w:rFonts w:hint="eastAsia" w:ascii="Times New Roman" w:hAnsi="Times New Roman" w:eastAsia="仿宋_GB2312" w:cs="Times New Roman"/>
          <w:b w:val="0"/>
          <w:bCs w:val="0"/>
          <w:color w:val="auto"/>
          <w:sz w:val="32"/>
          <w:szCs w:val="21"/>
          <w:highlight w:val="none"/>
          <w:lang w:val="en-US" w:eastAsia="zh-CN"/>
        </w:rPr>
        <w:t>A.非常满意</w:t>
      </w:r>
      <w:bookmarkEnd w:id="137"/>
    </w:p>
    <w:p w14:paraId="0D447C86">
      <w:pPr>
        <w:keepNext w:val="0"/>
        <w:keepLines w:val="0"/>
        <w:pageBreakBefore w:val="0"/>
        <w:widowControl w:val="0"/>
        <w:kinsoku/>
        <w:wordWrap/>
        <w:overflowPunct/>
        <w:topLinePunct w:val="0"/>
        <w:autoSpaceDE/>
        <w:autoSpaceDN/>
        <w:bidi w:val="0"/>
        <w:adjustRightInd/>
        <w:snapToGrid w:val="0"/>
        <w:spacing w:line="240" w:lineRule="auto"/>
        <w:ind w:left="0" w:leftChars="0" w:firstLine="640" w:firstLineChars="200"/>
        <w:textAlignment w:val="auto"/>
        <w:outlineLvl w:val="1"/>
        <w:rPr>
          <w:rFonts w:hint="eastAsia" w:ascii="Times New Roman" w:hAnsi="Times New Roman" w:eastAsia="仿宋_GB2312" w:cs="Times New Roman"/>
          <w:b w:val="0"/>
          <w:bCs w:val="0"/>
          <w:color w:val="auto"/>
          <w:sz w:val="32"/>
          <w:szCs w:val="21"/>
          <w:highlight w:val="none"/>
          <w:lang w:val="en-US" w:eastAsia="zh-CN"/>
        </w:rPr>
      </w:pPr>
      <w:bookmarkStart w:id="138" w:name="_Toc3627"/>
      <w:r>
        <w:rPr>
          <w:rFonts w:hint="eastAsia" w:ascii="Times New Roman" w:hAnsi="Times New Roman" w:eastAsia="仿宋_GB2312" w:cs="Times New Roman"/>
          <w:b w:val="0"/>
          <w:bCs w:val="0"/>
          <w:color w:val="auto"/>
          <w:sz w:val="32"/>
          <w:szCs w:val="21"/>
          <w:highlight w:val="none"/>
          <w:lang w:val="en-US" w:eastAsia="zh-CN"/>
        </w:rPr>
        <w:t>B.满意</w:t>
      </w:r>
      <w:bookmarkEnd w:id="138"/>
    </w:p>
    <w:p w14:paraId="2CEAB731">
      <w:pPr>
        <w:keepNext w:val="0"/>
        <w:keepLines w:val="0"/>
        <w:pageBreakBefore w:val="0"/>
        <w:widowControl w:val="0"/>
        <w:kinsoku/>
        <w:wordWrap/>
        <w:overflowPunct/>
        <w:topLinePunct w:val="0"/>
        <w:autoSpaceDE/>
        <w:autoSpaceDN/>
        <w:bidi w:val="0"/>
        <w:adjustRightInd/>
        <w:snapToGrid w:val="0"/>
        <w:spacing w:line="240" w:lineRule="auto"/>
        <w:ind w:left="0" w:leftChars="0" w:firstLine="640" w:firstLineChars="200"/>
        <w:textAlignment w:val="auto"/>
        <w:outlineLvl w:val="1"/>
        <w:rPr>
          <w:rFonts w:hint="eastAsia" w:ascii="Times New Roman" w:hAnsi="Times New Roman" w:eastAsia="仿宋_GB2312" w:cs="Times New Roman"/>
          <w:b w:val="0"/>
          <w:bCs w:val="0"/>
          <w:color w:val="auto"/>
          <w:sz w:val="32"/>
          <w:szCs w:val="21"/>
          <w:highlight w:val="none"/>
          <w:lang w:val="en-US" w:eastAsia="zh-CN"/>
        </w:rPr>
      </w:pPr>
      <w:bookmarkStart w:id="139" w:name="_Toc3954"/>
      <w:r>
        <w:rPr>
          <w:rFonts w:hint="eastAsia" w:ascii="Times New Roman" w:hAnsi="Times New Roman" w:eastAsia="仿宋_GB2312" w:cs="Times New Roman"/>
          <w:b w:val="0"/>
          <w:bCs w:val="0"/>
          <w:color w:val="auto"/>
          <w:sz w:val="32"/>
          <w:szCs w:val="21"/>
          <w:highlight w:val="none"/>
          <w:lang w:val="en-US" w:eastAsia="zh-CN"/>
        </w:rPr>
        <w:t>C.一般</w:t>
      </w:r>
      <w:bookmarkEnd w:id="139"/>
    </w:p>
    <w:p w14:paraId="3FBD2C72">
      <w:pPr>
        <w:keepNext w:val="0"/>
        <w:keepLines w:val="0"/>
        <w:pageBreakBefore w:val="0"/>
        <w:widowControl w:val="0"/>
        <w:kinsoku/>
        <w:wordWrap/>
        <w:overflowPunct/>
        <w:topLinePunct w:val="0"/>
        <w:autoSpaceDE/>
        <w:autoSpaceDN/>
        <w:bidi w:val="0"/>
        <w:adjustRightInd/>
        <w:snapToGrid w:val="0"/>
        <w:spacing w:line="240" w:lineRule="auto"/>
        <w:ind w:left="0" w:leftChars="0" w:firstLine="640" w:firstLineChars="200"/>
        <w:textAlignment w:val="auto"/>
        <w:outlineLvl w:val="1"/>
        <w:rPr>
          <w:rFonts w:hint="eastAsia" w:ascii="Times New Roman" w:hAnsi="Times New Roman" w:eastAsia="仿宋_GB2312" w:cs="Times New Roman"/>
          <w:b w:val="0"/>
          <w:bCs w:val="0"/>
          <w:color w:val="auto"/>
          <w:sz w:val="32"/>
          <w:szCs w:val="21"/>
          <w:highlight w:val="none"/>
          <w:lang w:val="en-US" w:eastAsia="zh-CN"/>
        </w:rPr>
      </w:pPr>
      <w:bookmarkStart w:id="140" w:name="_Toc32122"/>
      <w:r>
        <w:rPr>
          <w:rFonts w:hint="eastAsia" w:ascii="Times New Roman" w:hAnsi="Times New Roman" w:eastAsia="仿宋_GB2312" w:cs="Times New Roman"/>
          <w:b w:val="0"/>
          <w:bCs w:val="0"/>
          <w:color w:val="auto"/>
          <w:sz w:val="32"/>
          <w:szCs w:val="21"/>
          <w:highlight w:val="none"/>
          <w:lang w:val="en-US" w:eastAsia="zh-CN"/>
        </w:rPr>
        <w:t>D.不满意</w:t>
      </w:r>
      <w:bookmarkEnd w:id="140"/>
    </w:p>
    <w:p w14:paraId="0DEB9B7E">
      <w:pPr>
        <w:keepNext w:val="0"/>
        <w:keepLines w:val="0"/>
        <w:pageBreakBefore w:val="0"/>
        <w:widowControl w:val="0"/>
        <w:kinsoku/>
        <w:wordWrap/>
        <w:overflowPunct/>
        <w:topLinePunct w:val="0"/>
        <w:autoSpaceDE/>
        <w:autoSpaceDN/>
        <w:bidi w:val="0"/>
        <w:adjustRightInd/>
        <w:snapToGrid w:val="0"/>
        <w:spacing w:line="240" w:lineRule="auto"/>
        <w:ind w:left="0" w:leftChars="0" w:firstLine="640" w:firstLineChars="200"/>
        <w:textAlignment w:val="auto"/>
        <w:outlineLvl w:val="1"/>
        <w:rPr>
          <w:rFonts w:hint="eastAsia" w:ascii="Times New Roman" w:hAnsi="Times New Roman" w:eastAsia="仿宋_GB2312" w:cs="Times New Roman"/>
          <w:b w:val="0"/>
          <w:bCs w:val="0"/>
          <w:color w:val="auto"/>
          <w:sz w:val="32"/>
          <w:szCs w:val="21"/>
          <w:highlight w:val="none"/>
          <w:lang w:val="en-US" w:eastAsia="zh-CN"/>
        </w:rPr>
      </w:pPr>
      <w:bookmarkStart w:id="141" w:name="_Toc23932"/>
      <w:r>
        <w:rPr>
          <w:rFonts w:hint="eastAsia" w:ascii="Times New Roman" w:hAnsi="Times New Roman" w:eastAsia="仿宋_GB2312" w:cs="Times New Roman"/>
          <w:b w:val="0"/>
          <w:bCs w:val="0"/>
          <w:color w:val="auto"/>
          <w:sz w:val="32"/>
          <w:szCs w:val="21"/>
          <w:highlight w:val="none"/>
          <w:lang w:val="en-US" w:eastAsia="zh-CN"/>
        </w:rPr>
        <w:t>E.很不满意</w:t>
      </w:r>
      <w:bookmarkEnd w:id="141"/>
    </w:p>
    <w:p w14:paraId="7CDCEAD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Calibri" w:hAnsi="Calibri" w:eastAsia="仿宋_GB2312" w:cs="Calibri"/>
          <w:color w:val="auto"/>
          <w:sz w:val="32"/>
          <w:szCs w:val="20"/>
          <w:highlight w:val="none"/>
        </w:rPr>
      </w:pPr>
    </w:p>
    <w:p w14:paraId="140E7D31">
      <w:pPr>
        <w:keepNext w:val="0"/>
        <w:keepLines w:val="0"/>
        <w:pageBreakBefore w:val="0"/>
        <w:widowControl w:val="0"/>
        <w:kinsoku/>
        <w:wordWrap/>
        <w:overflowPunct/>
        <w:topLinePunct w:val="0"/>
        <w:autoSpaceDE/>
        <w:autoSpaceDN/>
        <w:bidi w:val="0"/>
        <w:adjustRightInd/>
        <w:snapToGrid w:val="0"/>
        <w:spacing w:line="240" w:lineRule="auto"/>
        <w:ind w:left="0" w:leftChars="0" w:firstLine="643" w:firstLineChars="200"/>
        <w:textAlignment w:val="auto"/>
        <w:outlineLvl w:val="1"/>
        <w:rPr>
          <w:rFonts w:hint="eastAsia" w:ascii="Times New Roman" w:hAnsi="Times New Roman" w:eastAsia="仿宋_GB2312" w:cs="Times New Roman"/>
          <w:b/>
          <w:bCs/>
          <w:color w:val="auto"/>
          <w:sz w:val="32"/>
          <w:szCs w:val="21"/>
          <w:highlight w:val="none"/>
          <w:lang w:val="en-US" w:eastAsia="zh-CN"/>
        </w:rPr>
      </w:pPr>
      <w:bookmarkStart w:id="142" w:name="_Toc19"/>
      <w:r>
        <w:rPr>
          <w:rFonts w:hint="eastAsia" w:ascii="Times New Roman" w:hAnsi="Times New Roman" w:eastAsia="仿宋_GB2312" w:cs="Times New Roman"/>
          <w:b/>
          <w:bCs/>
          <w:color w:val="auto"/>
          <w:sz w:val="32"/>
          <w:szCs w:val="21"/>
          <w:highlight w:val="none"/>
          <w:lang w:val="en-US" w:eastAsia="zh-CN"/>
        </w:rPr>
        <w:t>6.您对该部门支出项目在促进社会经济发展、提高人民生活水平方面的满意度如何：</w:t>
      </w:r>
      <w:bookmarkEnd w:id="142"/>
    </w:p>
    <w:p w14:paraId="438407E2">
      <w:pPr>
        <w:keepNext w:val="0"/>
        <w:keepLines w:val="0"/>
        <w:pageBreakBefore w:val="0"/>
        <w:widowControl w:val="0"/>
        <w:kinsoku/>
        <w:wordWrap/>
        <w:overflowPunct/>
        <w:topLinePunct w:val="0"/>
        <w:autoSpaceDE/>
        <w:autoSpaceDN/>
        <w:bidi w:val="0"/>
        <w:adjustRightInd/>
        <w:snapToGrid w:val="0"/>
        <w:spacing w:line="240" w:lineRule="auto"/>
        <w:ind w:left="0" w:leftChars="0" w:firstLine="640" w:firstLineChars="200"/>
        <w:textAlignment w:val="auto"/>
        <w:outlineLvl w:val="1"/>
        <w:rPr>
          <w:rFonts w:hint="eastAsia" w:ascii="Times New Roman" w:hAnsi="Times New Roman" w:eastAsia="仿宋_GB2312" w:cs="Times New Roman"/>
          <w:b w:val="0"/>
          <w:bCs w:val="0"/>
          <w:color w:val="auto"/>
          <w:sz w:val="32"/>
          <w:szCs w:val="21"/>
          <w:highlight w:val="none"/>
          <w:lang w:val="en-US" w:eastAsia="zh-CN"/>
        </w:rPr>
      </w:pPr>
      <w:bookmarkStart w:id="143" w:name="_Toc19877"/>
      <w:r>
        <w:rPr>
          <w:rFonts w:hint="eastAsia" w:ascii="Times New Roman" w:hAnsi="Times New Roman" w:eastAsia="仿宋_GB2312" w:cs="Times New Roman"/>
          <w:b w:val="0"/>
          <w:bCs w:val="0"/>
          <w:color w:val="auto"/>
          <w:sz w:val="32"/>
          <w:szCs w:val="21"/>
          <w:highlight w:val="none"/>
          <w:lang w:val="en-US" w:eastAsia="zh-CN"/>
        </w:rPr>
        <w:t>A.非常满意</w:t>
      </w:r>
      <w:bookmarkEnd w:id="143"/>
    </w:p>
    <w:p w14:paraId="1B6F43D1">
      <w:pPr>
        <w:keepNext w:val="0"/>
        <w:keepLines w:val="0"/>
        <w:pageBreakBefore w:val="0"/>
        <w:widowControl w:val="0"/>
        <w:kinsoku/>
        <w:wordWrap/>
        <w:overflowPunct/>
        <w:topLinePunct w:val="0"/>
        <w:autoSpaceDE/>
        <w:autoSpaceDN/>
        <w:bidi w:val="0"/>
        <w:adjustRightInd/>
        <w:snapToGrid w:val="0"/>
        <w:spacing w:line="240" w:lineRule="auto"/>
        <w:ind w:left="0" w:leftChars="0" w:firstLine="640" w:firstLineChars="200"/>
        <w:textAlignment w:val="auto"/>
        <w:outlineLvl w:val="1"/>
        <w:rPr>
          <w:rFonts w:hint="eastAsia" w:ascii="Times New Roman" w:hAnsi="Times New Roman" w:eastAsia="仿宋_GB2312" w:cs="Times New Roman"/>
          <w:b w:val="0"/>
          <w:bCs w:val="0"/>
          <w:color w:val="auto"/>
          <w:sz w:val="32"/>
          <w:szCs w:val="21"/>
          <w:highlight w:val="none"/>
          <w:lang w:val="en-US" w:eastAsia="zh-CN"/>
        </w:rPr>
      </w:pPr>
      <w:bookmarkStart w:id="144" w:name="_Toc3419"/>
      <w:r>
        <w:rPr>
          <w:rFonts w:hint="eastAsia" w:ascii="Times New Roman" w:hAnsi="Times New Roman" w:eastAsia="仿宋_GB2312" w:cs="Times New Roman"/>
          <w:b w:val="0"/>
          <w:bCs w:val="0"/>
          <w:color w:val="auto"/>
          <w:sz w:val="32"/>
          <w:szCs w:val="21"/>
          <w:highlight w:val="none"/>
          <w:lang w:val="en-US" w:eastAsia="zh-CN"/>
        </w:rPr>
        <w:t>B.满意</w:t>
      </w:r>
      <w:bookmarkEnd w:id="144"/>
    </w:p>
    <w:p w14:paraId="0B4B9D1B">
      <w:pPr>
        <w:keepNext w:val="0"/>
        <w:keepLines w:val="0"/>
        <w:pageBreakBefore w:val="0"/>
        <w:widowControl w:val="0"/>
        <w:kinsoku/>
        <w:wordWrap/>
        <w:overflowPunct/>
        <w:topLinePunct w:val="0"/>
        <w:autoSpaceDE/>
        <w:autoSpaceDN/>
        <w:bidi w:val="0"/>
        <w:adjustRightInd/>
        <w:snapToGrid w:val="0"/>
        <w:spacing w:line="240" w:lineRule="auto"/>
        <w:ind w:left="0" w:leftChars="0" w:firstLine="640" w:firstLineChars="200"/>
        <w:textAlignment w:val="auto"/>
        <w:outlineLvl w:val="1"/>
        <w:rPr>
          <w:rFonts w:hint="eastAsia" w:ascii="Times New Roman" w:hAnsi="Times New Roman" w:eastAsia="仿宋_GB2312" w:cs="Times New Roman"/>
          <w:b w:val="0"/>
          <w:bCs w:val="0"/>
          <w:color w:val="auto"/>
          <w:sz w:val="32"/>
          <w:szCs w:val="21"/>
          <w:highlight w:val="none"/>
          <w:lang w:val="en-US" w:eastAsia="zh-CN"/>
        </w:rPr>
      </w:pPr>
      <w:bookmarkStart w:id="145" w:name="_Toc15275"/>
      <w:r>
        <w:rPr>
          <w:rFonts w:hint="eastAsia" w:ascii="Times New Roman" w:hAnsi="Times New Roman" w:eastAsia="仿宋_GB2312" w:cs="Times New Roman"/>
          <w:b w:val="0"/>
          <w:bCs w:val="0"/>
          <w:color w:val="auto"/>
          <w:sz w:val="32"/>
          <w:szCs w:val="21"/>
          <w:highlight w:val="none"/>
          <w:lang w:val="en-US" w:eastAsia="zh-CN"/>
        </w:rPr>
        <w:t>C.一般</w:t>
      </w:r>
      <w:bookmarkEnd w:id="145"/>
    </w:p>
    <w:p w14:paraId="417CD155">
      <w:pPr>
        <w:keepNext w:val="0"/>
        <w:keepLines w:val="0"/>
        <w:pageBreakBefore w:val="0"/>
        <w:widowControl w:val="0"/>
        <w:kinsoku/>
        <w:wordWrap/>
        <w:overflowPunct/>
        <w:topLinePunct w:val="0"/>
        <w:autoSpaceDE/>
        <w:autoSpaceDN/>
        <w:bidi w:val="0"/>
        <w:adjustRightInd/>
        <w:snapToGrid w:val="0"/>
        <w:spacing w:line="240" w:lineRule="auto"/>
        <w:ind w:left="0" w:leftChars="0" w:firstLine="640" w:firstLineChars="200"/>
        <w:textAlignment w:val="auto"/>
        <w:outlineLvl w:val="1"/>
        <w:rPr>
          <w:rFonts w:hint="eastAsia" w:ascii="Times New Roman" w:hAnsi="Times New Roman" w:eastAsia="仿宋_GB2312" w:cs="Times New Roman"/>
          <w:b w:val="0"/>
          <w:bCs w:val="0"/>
          <w:color w:val="auto"/>
          <w:sz w:val="32"/>
          <w:szCs w:val="21"/>
          <w:highlight w:val="none"/>
          <w:lang w:val="en-US" w:eastAsia="zh-CN"/>
        </w:rPr>
      </w:pPr>
      <w:bookmarkStart w:id="146" w:name="_Toc29779"/>
      <w:r>
        <w:rPr>
          <w:rFonts w:hint="eastAsia" w:ascii="Times New Roman" w:hAnsi="Times New Roman" w:eastAsia="仿宋_GB2312" w:cs="Times New Roman"/>
          <w:b w:val="0"/>
          <w:bCs w:val="0"/>
          <w:color w:val="auto"/>
          <w:sz w:val="32"/>
          <w:szCs w:val="21"/>
          <w:highlight w:val="none"/>
          <w:lang w:val="en-US" w:eastAsia="zh-CN"/>
        </w:rPr>
        <w:t>D.不满意</w:t>
      </w:r>
      <w:bookmarkEnd w:id="146"/>
    </w:p>
    <w:p w14:paraId="20FB2FB4">
      <w:pPr>
        <w:keepNext w:val="0"/>
        <w:keepLines w:val="0"/>
        <w:pageBreakBefore w:val="0"/>
        <w:widowControl w:val="0"/>
        <w:kinsoku/>
        <w:wordWrap/>
        <w:overflowPunct/>
        <w:topLinePunct w:val="0"/>
        <w:autoSpaceDE/>
        <w:autoSpaceDN/>
        <w:bidi w:val="0"/>
        <w:adjustRightInd/>
        <w:snapToGrid w:val="0"/>
        <w:spacing w:line="240" w:lineRule="auto"/>
        <w:ind w:left="0" w:leftChars="0" w:firstLine="640" w:firstLineChars="200"/>
        <w:textAlignment w:val="auto"/>
        <w:outlineLvl w:val="1"/>
        <w:rPr>
          <w:rFonts w:hint="eastAsia" w:ascii="Times New Roman" w:hAnsi="Times New Roman" w:eastAsia="仿宋_GB2312" w:cs="Times New Roman"/>
          <w:b w:val="0"/>
          <w:bCs w:val="0"/>
          <w:color w:val="auto"/>
          <w:sz w:val="32"/>
          <w:szCs w:val="21"/>
          <w:highlight w:val="none"/>
          <w:lang w:val="en-US" w:eastAsia="zh-CN"/>
        </w:rPr>
      </w:pPr>
      <w:bookmarkStart w:id="147" w:name="_Toc7105"/>
      <w:r>
        <w:rPr>
          <w:rFonts w:hint="eastAsia" w:ascii="Times New Roman" w:hAnsi="Times New Roman" w:eastAsia="仿宋_GB2312" w:cs="Times New Roman"/>
          <w:b w:val="0"/>
          <w:bCs w:val="0"/>
          <w:color w:val="auto"/>
          <w:sz w:val="32"/>
          <w:szCs w:val="21"/>
          <w:highlight w:val="none"/>
          <w:lang w:val="en-US" w:eastAsia="zh-CN"/>
        </w:rPr>
        <w:t>E.很不满意</w:t>
      </w:r>
      <w:bookmarkEnd w:id="147"/>
    </w:p>
    <w:p w14:paraId="0DBC2F1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Calibri" w:hAnsi="Calibri" w:eastAsia="仿宋_GB2312" w:cs="Calibri"/>
          <w:color w:val="auto"/>
          <w:sz w:val="32"/>
          <w:szCs w:val="20"/>
          <w:highlight w:val="none"/>
        </w:rPr>
      </w:pPr>
    </w:p>
    <w:p w14:paraId="65023BD1">
      <w:pPr>
        <w:keepNext w:val="0"/>
        <w:keepLines w:val="0"/>
        <w:pageBreakBefore w:val="0"/>
        <w:widowControl w:val="0"/>
        <w:kinsoku/>
        <w:wordWrap/>
        <w:overflowPunct/>
        <w:topLinePunct w:val="0"/>
        <w:autoSpaceDE/>
        <w:autoSpaceDN/>
        <w:bidi w:val="0"/>
        <w:adjustRightInd/>
        <w:snapToGrid w:val="0"/>
        <w:spacing w:line="240" w:lineRule="auto"/>
        <w:ind w:left="0" w:leftChars="0" w:firstLine="643" w:firstLineChars="200"/>
        <w:textAlignment w:val="auto"/>
        <w:outlineLvl w:val="1"/>
        <w:rPr>
          <w:rFonts w:hint="eastAsia" w:ascii="Times New Roman" w:hAnsi="Times New Roman" w:eastAsia="仿宋_GB2312" w:cs="Times New Roman"/>
          <w:b/>
          <w:bCs/>
          <w:color w:val="auto"/>
          <w:sz w:val="32"/>
          <w:szCs w:val="21"/>
          <w:highlight w:val="none"/>
          <w:lang w:val="en-US" w:eastAsia="zh-CN"/>
        </w:rPr>
      </w:pPr>
      <w:bookmarkStart w:id="148" w:name="_Toc7355"/>
      <w:r>
        <w:rPr>
          <w:rFonts w:hint="eastAsia" w:ascii="Times New Roman" w:hAnsi="Times New Roman" w:eastAsia="仿宋_GB2312" w:cs="Times New Roman"/>
          <w:b/>
          <w:bCs/>
          <w:color w:val="auto"/>
          <w:sz w:val="32"/>
          <w:szCs w:val="21"/>
          <w:highlight w:val="none"/>
          <w:lang w:val="en-US" w:eastAsia="zh-CN"/>
        </w:rPr>
        <w:t>7.您认为该部门在履行服务承诺以及服务态度、服务质量方面做得如何：</w:t>
      </w:r>
      <w:bookmarkEnd w:id="148"/>
    </w:p>
    <w:p w14:paraId="2F00230F">
      <w:pPr>
        <w:keepNext w:val="0"/>
        <w:keepLines w:val="0"/>
        <w:pageBreakBefore w:val="0"/>
        <w:widowControl w:val="0"/>
        <w:kinsoku/>
        <w:wordWrap/>
        <w:overflowPunct/>
        <w:topLinePunct w:val="0"/>
        <w:autoSpaceDE/>
        <w:autoSpaceDN/>
        <w:bidi w:val="0"/>
        <w:adjustRightInd/>
        <w:snapToGrid w:val="0"/>
        <w:spacing w:line="240" w:lineRule="auto"/>
        <w:ind w:left="0" w:leftChars="0" w:firstLine="640" w:firstLineChars="200"/>
        <w:textAlignment w:val="auto"/>
        <w:outlineLvl w:val="1"/>
        <w:rPr>
          <w:rFonts w:hint="eastAsia" w:ascii="Times New Roman" w:hAnsi="Times New Roman" w:eastAsia="仿宋_GB2312" w:cs="Times New Roman"/>
          <w:b w:val="0"/>
          <w:bCs w:val="0"/>
          <w:color w:val="auto"/>
          <w:sz w:val="32"/>
          <w:szCs w:val="21"/>
          <w:highlight w:val="none"/>
          <w:lang w:val="en-US" w:eastAsia="zh-CN"/>
        </w:rPr>
      </w:pPr>
      <w:bookmarkStart w:id="149" w:name="_Toc12721"/>
      <w:r>
        <w:rPr>
          <w:rFonts w:hint="eastAsia" w:ascii="Times New Roman" w:hAnsi="Times New Roman" w:eastAsia="仿宋_GB2312" w:cs="Times New Roman"/>
          <w:b w:val="0"/>
          <w:bCs w:val="0"/>
          <w:color w:val="auto"/>
          <w:sz w:val="32"/>
          <w:szCs w:val="21"/>
          <w:highlight w:val="none"/>
          <w:lang w:val="en-US" w:eastAsia="zh-CN"/>
        </w:rPr>
        <w:t>A.非常满意</w:t>
      </w:r>
      <w:bookmarkEnd w:id="149"/>
    </w:p>
    <w:p w14:paraId="193EB87B">
      <w:pPr>
        <w:keepNext w:val="0"/>
        <w:keepLines w:val="0"/>
        <w:pageBreakBefore w:val="0"/>
        <w:widowControl w:val="0"/>
        <w:kinsoku/>
        <w:wordWrap/>
        <w:overflowPunct/>
        <w:topLinePunct w:val="0"/>
        <w:autoSpaceDE/>
        <w:autoSpaceDN/>
        <w:bidi w:val="0"/>
        <w:adjustRightInd/>
        <w:snapToGrid w:val="0"/>
        <w:spacing w:line="240" w:lineRule="auto"/>
        <w:ind w:left="0" w:leftChars="0" w:firstLine="640" w:firstLineChars="200"/>
        <w:textAlignment w:val="auto"/>
        <w:outlineLvl w:val="1"/>
        <w:rPr>
          <w:rFonts w:hint="eastAsia" w:ascii="Times New Roman" w:hAnsi="Times New Roman" w:eastAsia="仿宋_GB2312" w:cs="Times New Roman"/>
          <w:b w:val="0"/>
          <w:bCs w:val="0"/>
          <w:color w:val="auto"/>
          <w:sz w:val="32"/>
          <w:szCs w:val="21"/>
          <w:highlight w:val="none"/>
          <w:lang w:val="en-US" w:eastAsia="zh-CN"/>
        </w:rPr>
      </w:pPr>
      <w:bookmarkStart w:id="150" w:name="_Toc29200"/>
      <w:r>
        <w:rPr>
          <w:rFonts w:hint="eastAsia" w:ascii="Times New Roman" w:hAnsi="Times New Roman" w:eastAsia="仿宋_GB2312" w:cs="Times New Roman"/>
          <w:b w:val="0"/>
          <w:bCs w:val="0"/>
          <w:color w:val="auto"/>
          <w:sz w:val="32"/>
          <w:szCs w:val="21"/>
          <w:highlight w:val="none"/>
          <w:lang w:val="en-US" w:eastAsia="zh-CN"/>
        </w:rPr>
        <w:t>B.满意</w:t>
      </w:r>
      <w:bookmarkEnd w:id="150"/>
    </w:p>
    <w:p w14:paraId="3E397460">
      <w:pPr>
        <w:keepNext w:val="0"/>
        <w:keepLines w:val="0"/>
        <w:pageBreakBefore w:val="0"/>
        <w:widowControl w:val="0"/>
        <w:kinsoku/>
        <w:wordWrap/>
        <w:overflowPunct/>
        <w:topLinePunct w:val="0"/>
        <w:autoSpaceDE/>
        <w:autoSpaceDN/>
        <w:bidi w:val="0"/>
        <w:adjustRightInd/>
        <w:snapToGrid w:val="0"/>
        <w:spacing w:line="240" w:lineRule="auto"/>
        <w:ind w:left="0" w:leftChars="0" w:firstLine="640" w:firstLineChars="200"/>
        <w:textAlignment w:val="auto"/>
        <w:outlineLvl w:val="1"/>
        <w:rPr>
          <w:rFonts w:hint="eastAsia" w:ascii="Times New Roman" w:hAnsi="Times New Roman" w:eastAsia="仿宋_GB2312" w:cs="Times New Roman"/>
          <w:b w:val="0"/>
          <w:bCs w:val="0"/>
          <w:color w:val="auto"/>
          <w:sz w:val="32"/>
          <w:szCs w:val="21"/>
          <w:highlight w:val="none"/>
          <w:lang w:val="en-US" w:eastAsia="zh-CN"/>
        </w:rPr>
      </w:pPr>
      <w:bookmarkStart w:id="151" w:name="_Toc7775"/>
      <w:r>
        <w:rPr>
          <w:rFonts w:hint="eastAsia" w:ascii="Times New Roman" w:hAnsi="Times New Roman" w:eastAsia="仿宋_GB2312" w:cs="Times New Roman"/>
          <w:b w:val="0"/>
          <w:bCs w:val="0"/>
          <w:color w:val="auto"/>
          <w:sz w:val="32"/>
          <w:szCs w:val="21"/>
          <w:highlight w:val="none"/>
          <w:lang w:val="en-US" w:eastAsia="zh-CN"/>
        </w:rPr>
        <w:t>C.一般</w:t>
      </w:r>
      <w:bookmarkEnd w:id="151"/>
    </w:p>
    <w:p w14:paraId="43143B13">
      <w:pPr>
        <w:keepNext w:val="0"/>
        <w:keepLines w:val="0"/>
        <w:pageBreakBefore w:val="0"/>
        <w:widowControl w:val="0"/>
        <w:kinsoku/>
        <w:wordWrap/>
        <w:overflowPunct/>
        <w:topLinePunct w:val="0"/>
        <w:autoSpaceDE/>
        <w:autoSpaceDN/>
        <w:bidi w:val="0"/>
        <w:adjustRightInd/>
        <w:snapToGrid w:val="0"/>
        <w:spacing w:line="240" w:lineRule="auto"/>
        <w:ind w:left="0" w:leftChars="0" w:firstLine="640" w:firstLineChars="200"/>
        <w:textAlignment w:val="auto"/>
        <w:outlineLvl w:val="1"/>
        <w:rPr>
          <w:rFonts w:hint="eastAsia" w:ascii="Times New Roman" w:hAnsi="Times New Roman" w:eastAsia="仿宋_GB2312" w:cs="Times New Roman"/>
          <w:b w:val="0"/>
          <w:bCs w:val="0"/>
          <w:color w:val="auto"/>
          <w:sz w:val="32"/>
          <w:szCs w:val="21"/>
          <w:highlight w:val="none"/>
          <w:lang w:val="en-US" w:eastAsia="zh-CN"/>
        </w:rPr>
      </w:pPr>
      <w:bookmarkStart w:id="152" w:name="_Toc20380"/>
      <w:r>
        <w:rPr>
          <w:rFonts w:hint="eastAsia" w:ascii="Times New Roman" w:hAnsi="Times New Roman" w:eastAsia="仿宋_GB2312" w:cs="Times New Roman"/>
          <w:b w:val="0"/>
          <w:bCs w:val="0"/>
          <w:color w:val="auto"/>
          <w:sz w:val="32"/>
          <w:szCs w:val="21"/>
          <w:highlight w:val="none"/>
          <w:lang w:val="en-US" w:eastAsia="zh-CN"/>
        </w:rPr>
        <w:t>D.不满意</w:t>
      </w:r>
      <w:bookmarkEnd w:id="152"/>
    </w:p>
    <w:p w14:paraId="3E5BB029">
      <w:pPr>
        <w:keepNext w:val="0"/>
        <w:keepLines w:val="0"/>
        <w:pageBreakBefore w:val="0"/>
        <w:widowControl w:val="0"/>
        <w:kinsoku/>
        <w:wordWrap/>
        <w:overflowPunct/>
        <w:topLinePunct w:val="0"/>
        <w:autoSpaceDE/>
        <w:autoSpaceDN/>
        <w:bidi w:val="0"/>
        <w:adjustRightInd/>
        <w:snapToGrid w:val="0"/>
        <w:spacing w:line="240" w:lineRule="auto"/>
        <w:ind w:left="0" w:leftChars="0" w:firstLine="640" w:firstLineChars="200"/>
        <w:textAlignment w:val="auto"/>
        <w:outlineLvl w:val="1"/>
        <w:rPr>
          <w:rFonts w:hint="eastAsia" w:ascii="Times New Roman" w:hAnsi="Times New Roman" w:eastAsia="仿宋_GB2312" w:cs="Times New Roman"/>
          <w:b w:val="0"/>
          <w:bCs w:val="0"/>
          <w:color w:val="auto"/>
          <w:sz w:val="32"/>
          <w:szCs w:val="21"/>
          <w:highlight w:val="none"/>
          <w:lang w:val="en-US" w:eastAsia="zh-CN"/>
        </w:rPr>
      </w:pPr>
      <w:bookmarkStart w:id="153" w:name="_Toc24088"/>
      <w:r>
        <w:rPr>
          <w:rFonts w:hint="eastAsia" w:ascii="Times New Roman" w:hAnsi="Times New Roman" w:eastAsia="仿宋_GB2312" w:cs="Times New Roman"/>
          <w:b w:val="0"/>
          <w:bCs w:val="0"/>
          <w:color w:val="auto"/>
          <w:sz w:val="32"/>
          <w:szCs w:val="21"/>
          <w:highlight w:val="none"/>
          <w:lang w:val="en-US" w:eastAsia="zh-CN"/>
        </w:rPr>
        <w:t>E.很不满意</w:t>
      </w:r>
      <w:bookmarkEnd w:id="153"/>
    </w:p>
    <w:p w14:paraId="0F1BBA4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Calibri" w:hAnsi="Calibri" w:eastAsia="仿宋_GB2312" w:cs="Calibri"/>
          <w:color w:val="auto"/>
          <w:sz w:val="32"/>
          <w:szCs w:val="20"/>
          <w:highlight w:val="none"/>
        </w:rPr>
      </w:pPr>
    </w:p>
    <w:p w14:paraId="0A8AA0B6">
      <w:pPr>
        <w:keepNext w:val="0"/>
        <w:keepLines w:val="0"/>
        <w:pageBreakBefore w:val="0"/>
        <w:widowControl w:val="0"/>
        <w:kinsoku/>
        <w:wordWrap/>
        <w:overflowPunct/>
        <w:topLinePunct w:val="0"/>
        <w:autoSpaceDE/>
        <w:autoSpaceDN/>
        <w:bidi w:val="0"/>
        <w:adjustRightInd/>
        <w:snapToGrid w:val="0"/>
        <w:spacing w:line="240" w:lineRule="auto"/>
        <w:ind w:left="0" w:leftChars="0" w:firstLine="643" w:firstLineChars="200"/>
        <w:textAlignment w:val="auto"/>
        <w:outlineLvl w:val="1"/>
        <w:rPr>
          <w:rFonts w:hint="eastAsia" w:ascii="Times New Roman" w:hAnsi="Times New Roman" w:eastAsia="仿宋_GB2312" w:cs="Times New Roman"/>
          <w:b/>
          <w:bCs/>
          <w:color w:val="auto"/>
          <w:sz w:val="32"/>
          <w:szCs w:val="21"/>
          <w:highlight w:val="none"/>
          <w:lang w:val="en-US" w:eastAsia="zh-CN"/>
        </w:rPr>
      </w:pPr>
      <w:bookmarkStart w:id="154" w:name="_Toc15864"/>
      <w:r>
        <w:rPr>
          <w:rFonts w:hint="eastAsia" w:ascii="Times New Roman" w:hAnsi="Times New Roman" w:eastAsia="仿宋_GB2312" w:cs="Times New Roman"/>
          <w:b/>
          <w:bCs/>
          <w:color w:val="auto"/>
          <w:sz w:val="32"/>
          <w:szCs w:val="21"/>
          <w:highlight w:val="none"/>
          <w:lang w:val="en-US" w:eastAsia="zh-CN"/>
        </w:rPr>
        <w:t>8.您认为该部门在依法办事、依法行政，杜绝不作为和乱作为方面做得如何：</w:t>
      </w:r>
      <w:bookmarkEnd w:id="154"/>
    </w:p>
    <w:p w14:paraId="589715D1">
      <w:pPr>
        <w:keepNext w:val="0"/>
        <w:keepLines w:val="0"/>
        <w:pageBreakBefore w:val="0"/>
        <w:widowControl w:val="0"/>
        <w:kinsoku/>
        <w:wordWrap/>
        <w:overflowPunct/>
        <w:topLinePunct w:val="0"/>
        <w:autoSpaceDE/>
        <w:autoSpaceDN/>
        <w:bidi w:val="0"/>
        <w:adjustRightInd/>
        <w:snapToGrid w:val="0"/>
        <w:spacing w:line="240" w:lineRule="auto"/>
        <w:ind w:left="0" w:leftChars="0" w:firstLine="640" w:firstLineChars="200"/>
        <w:textAlignment w:val="auto"/>
        <w:outlineLvl w:val="1"/>
        <w:rPr>
          <w:rFonts w:hint="eastAsia" w:ascii="Times New Roman" w:hAnsi="Times New Roman" w:eastAsia="仿宋_GB2312" w:cs="Times New Roman"/>
          <w:b w:val="0"/>
          <w:bCs w:val="0"/>
          <w:color w:val="auto"/>
          <w:sz w:val="32"/>
          <w:szCs w:val="21"/>
          <w:highlight w:val="none"/>
          <w:lang w:val="en-US" w:eastAsia="zh-CN"/>
        </w:rPr>
      </w:pPr>
      <w:bookmarkStart w:id="155" w:name="_Toc26250"/>
      <w:r>
        <w:rPr>
          <w:rFonts w:hint="eastAsia" w:ascii="Times New Roman" w:hAnsi="Times New Roman" w:eastAsia="仿宋_GB2312" w:cs="Times New Roman"/>
          <w:b w:val="0"/>
          <w:bCs w:val="0"/>
          <w:color w:val="auto"/>
          <w:sz w:val="32"/>
          <w:szCs w:val="21"/>
          <w:highlight w:val="none"/>
          <w:lang w:val="en-US" w:eastAsia="zh-CN"/>
        </w:rPr>
        <w:t>A.非常满意</w:t>
      </w:r>
      <w:bookmarkEnd w:id="155"/>
    </w:p>
    <w:p w14:paraId="5C5B9235">
      <w:pPr>
        <w:keepNext w:val="0"/>
        <w:keepLines w:val="0"/>
        <w:pageBreakBefore w:val="0"/>
        <w:widowControl w:val="0"/>
        <w:kinsoku/>
        <w:wordWrap/>
        <w:overflowPunct/>
        <w:topLinePunct w:val="0"/>
        <w:autoSpaceDE/>
        <w:autoSpaceDN/>
        <w:bidi w:val="0"/>
        <w:adjustRightInd/>
        <w:snapToGrid w:val="0"/>
        <w:spacing w:line="240" w:lineRule="auto"/>
        <w:ind w:left="0" w:leftChars="0" w:firstLine="640" w:firstLineChars="200"/>
        <w:textAlignment w:val="auto"/>
        <w:outlineLvl w:val="1"/>
        <w:rPr>
          <w:rFonts w:hint="eastAsia" w:ascii="Times New Roman" w:hAnsi="Times New Roman" w:eastAsia="仿宋_GB2312" w:cs="Times New Roman"/>
          <w:b w:val="0"/>
          <w:bCs w:val="0"/>
          <w:color w:val="auto"/>
          <w:sz w:val="32"/>
          <w:szCs w:val="21"/>
          <w:highlight w:val="none"/>
          <w:lang w:val="en-US" w:eastAsia="zh-CN"/>
        </w:rPr>
      </w:pPr>
      <w:bookmarkStart w:id="156" w:name="_Toc5551"/>
      <w:r>
        <w:rPr>
          <w:rFonts w:hint="eastAsia" w:ascii="Times New Roman" w:hAnsi="Times New Roman" w:eastAsia="仿宋_GB2312" w:cs="Times New Roman"/>
          <w:b w:val="0"/>
          <w:bCs w:val="0"/>
          <w:color w:val="auto"/>
          <w:sz w:val="32"/>
          <w:szCs w:val="21"/>
          <w:highlight w:val="none"/>
          <w:lang w:val="en-US" w:eastAsia="zh-CN"/>
        </w:rPr>
        <w:t>B.满意</w:t>
      </w:r>
      <w:bookmarkEnd w:id="156"/>
    </w:p>
    <w:p w14:paraId="1F6C13A0">
      <w:pPr>
        <w:keepNext w:val="0"/>
        <w:keepLines w:val="0"/>
        <w:pageBreakBefore w:val="0"/>
        <w:widowControl w:val="0"/>
        <w:kinsoku/>
        <w:wordWrap/>
        <w:overflowPunct/>
        <w:topLinePunct w:val="0"/>
        <w:autoSpaceDE/>
        <w:autoSpaceDN/>
        <w:bidi w:val="0"/>
        <w:adjustRightInd/>
        <w:snapToGrid w:val="0"/>
        <w:spacing w:line="240" w:lineRule="auto"/>
        <w:ind w:left="0" w:leftChars="0" w:firstLine="640" w:firstLineChars="200"/>
        <w:textAlignment w:val="auto"/>
        <w:outlineLvl w:val="1"/>
        <w:rPr>
          <w:rFonts w:hint="eastAsia" w:ascii="Times New Roman" w:hAnsi="Times New Roman" w:eastAsia="仿宋_GB2312" w:cs="Times New Roman"/>
          <w:b w:val="0"/>
          <w:bCs w:val="0"/>
          <w:color w:val="auto"/>
          <w:sz w:val="32"/>
          <w:szCs w:val="21"/>
          <w:highlight w:val="none"/>
          <w:lang w:val="en-US" w:eastAsia="zh-CN"/>
        </w:rPr>
      </w:pPr>
      <w:bookmarkStart w:id="157" w:name="_Toc18784"/>
      <w:r>
        <w:rPr>
          <w:rFonts w:hint="eastAsia" w:ascii="Times New Roman" w:hAnsi="Times New Roman" w:eastAsia="仿宋_GB2312" w:cs="Times New Roman"/>
          <w:b w:val="0"/>
          <w:bCs w:val="0"/>
          <w:color w:val="auto"/>
          <w:sz w:val="32"/>
          <w:szCs w:val="21"/>
          <w:highlight w:val="none"/>
          <w:lang w:val="en-US" w:eastAsia="zh-CN"/>
        </w:rPr>
        <w:t>C.一般</w:t>
      </w:r>
      <w:bookmarkEnd w:id="157"/>
    </w:p>
    <w:p w14:paraId="451A6EC9">
      <w:pPr>
        <w:keepNext w:val="0"/>
        <w:keepLines w:val="0"/>
        <w:pageBreakBefore w:val="0"/>
        <w:widowControl w:val="0"/>
        <w:kinsoku/>
        <w:wordWrap/>
        <w:overflowPunct/>
        <w:topLinePunct w:val="0"/>
        <w:autoSpaceDE/>
        <w:autoSpaceDN/>
        <w:bidi w:val="0"/>
        <w:adjustRightInd/>
        <w:snapToGrid w:val="0"/>
        <w:spacing w:line="240" w:lineRule="auto"/>
        <w:ind w:left="0" w:leftChars="0" w:firstLine="640" w:firstLineChars="200"/>
        <w:textAlignment w:val="auto"/>
        <w:outlineLvl w:val="1"/>
        <w:rPr>
          <w:rFonts w:hint="eastAsia" w:ascii="Times New Roman" w:hAnsi="Times New Roman" w:eastAsia="仿宋_GB2312" w:cs="Times New Roman"/>
          <w:b w:val="0"/>
          <w:bCs w:val="0"/>
          <w:color w:val="auto"/>
          <w:sz w:val="32"/>
          <w:szCs w:val="21"/>
          <w:highlight w:val="none"/>
          <w:lang w:val="en-US" w:eastAsia="zh-CN"/>
        </w:rPr>
      </w:pPr>
      <w:bookmarkStart w:id="158" w:name="_Toc30689"/>
      <w:r>
        <w:rPr>
          <w:rFonts w:hint="eastAsia" w:ascii="Times New Roman" w:hAnsi="Times New Roman" w:eastAsia="仿宋_GB2312" w:cs="Times New Roman"/>
          <w:b w:val="0"/>
          <w:bCs w:val="0"/>
          <w:color w:val="auto"/>
          <w:sz w:val="32"/>
          <w:szCs w:val="21"/>
          <w:highlight w:val="none"/>
          <w:lang w:val="en-US" w:eastAsia="zh-CN"/>
        </w:rPr>
        <w:t>D.不满意</w:t>
      </w:r>
      <w:bookmarkEnd w:id="158"/>
    </w:p>
    <w:p w14:paraId="1A91BE7B">
      <w:pPr>
        <w:keepNext w:val="0"/>
        <w:keepLines w:val="0"/>
        <w:pageBreakBefore w:val="0"/>
        <w:widowControl w:val="0"/>
        <w:kinsoku/>
        <w:wordWrap/>
        <w:overflowPunct/>
        <w:topLinePunct w:val="0"/>
        <w:autoSpaceDE/>
        <w:autoSpaceDN/>
        <w:bidi w:val="0"/>
        <w:adjustRightInd/>
        <w:snapToGrid w:val="0"/>
        <w:spacing w:line="240" w:lineRule="auto"/>
        <w:ind w:left="0" w:leftChars="0" w:firstLine="640" w:firstLineChars="200"/>
        <w:textAlignment w:val="auto"/>
        <w:outlineLvl w:val="1"/>
        <w:rPr>
          <w:rFonts w:hint="eastAsia" w:ascii="Times New Roman" w:hAnsi="Times New Roman" w:eastAsia="仿宋_GB2312" w:cs="Times New Roman"/>
          <w:b w:val="0"/>
          <w:bCs w:val="0"/>
          <w:color w:val="auto"/>
          <w:sz w:val="32"/>
          <w:szCs w:val="21"/>
          <w:highlight w:val="none"/>
          <w:lang w:val="en-US" w:eastAsia="zh-CN"/>
        </w:rPr>
      </w:pPr>
      <w:bookmarkStart w:id="159" w:name="_Toc10450"/>
      <w:r>
        <w:rPr>
          <w:rFonts w:hint="eastAsia" w:ascii="Times New Roman" w:hAnsi="Times New Roman" w:eastAsia="仿宋_GB2312" w:cs="Times New Roman"/>
          <w:b w:val="0"/>
          <w:bCs w:val="0"/>
          <w:color w:val="auto"/>
          <w:sz w:val="32"/>
          <w:szCs w:val="21"/>
          <w:highlight w:val="none"/>
          <w:lang w:val="en-US" w:eastAsia="zh-CN"/>
        </w:rPr>
        <w:t>E.很不满意</w:t>
      </w:r>
      <w:bookmarkEnd w:id="159"/>
    </w:p>
    <w:p w14:paraId="25EB68E6">
      <w:pPr>
        <w:keepNext w:val="0"/>
        <w:keepLines w:val="0"/>
        <w:pageBreakBefore w:val="0"/>
        <w:widowControl w:val="0"/>
        <w:kinsoku/>
        <w:wordWrap/>
        <w:overflowPunct/>
        <w:topLinePunct w:val="0"/>
        <w:autoSpaceDE/>
        <w:autoSpaceDN/>
        <w:bidi w:val="0"/>
        <w:adjustRightInd/>
        <w:snapToGrid w:val="0"/>
        <w:spacing w:line="240" w:lineRule="auto"/>
        <w:ind w:left="0" w:leftChars="0" w:firstLine="643" w:firstLineChars="200"/>
        <w:textAlignment w:val="auto"/>
        <w:outlineLvl w:val="1"/>
        <w:rPr>
          <w:rFonts w:hint="eastAsia" w:ascii="Times New Roman" w:hAnsi="Times New Roman" w:eastAsia="仿宋_GB2312" w:cs="Times New Roman"/>
          <w:b/>
          <w:bCs/>
          <w:color w:val="auto"/>
          <w:sz w:val="32"/>
          <w:szCs w:val="21"/>
          <w:highlight w:val="none"/>
          <w:lang w:val="en-US" w:eastAsia="zh-CN"/>
        </w:rPr>
      </w:pPr>
    </w:p>
    <w:p w14:paraId="3FF861C6">
      <w:pPr>
        <w:keepNext w:val="0"/>
        <w:keepLines w:val="0"/>
        <w:pageBreakBefore w:val="0"/>
        <w:widowControl w:val="0"/>
        <w:kinsoku/>
        <w:wordWrap/>
        <w:overflowPunct/>
        <w:topLinePunct w:val="0"/>
        <w:autoSpaceDE/>
        <w:autoSpaceDN/>
        <w:bidi w:val="0"/>
        <w:adjustRightInd/>
        <w:snapToGrid w:val="0"/>
        <w:spacing w:line="240" w:lineRule="auto"/>
        <w:ind w:left="0" w:leftChars="0" w:firstLine="643" w:firstLineChars="200"/>
        <w:textAlignment w:val="auto"/>
        <w:outlineLvl w:val="1"/>
        <w:rPr>
          <w:rFonts w:hint="eastAsia" w:ascii="Times New Roman" w:hAnsi="Times New Roman" w:eastAsia="仿宋_GB2312" w:cs="Times New Roman"/>
          <w:b/>
          <w:bCs/>
          <w:color w:val="auto"/>
          <w:sz w:val="32"/>
          <w:szCs w:val="21"/>
          <w:highlight w:val="none"/>
          <w:lang w:val="en-US" w:eastAsia="zh-CN"/>
        </w:rPr>
      </w:pPr>
      <w:bookmarkStart w:id="160" w:name="_Toc21783"/>
      <w:r>
        <w:rPr>
          <w:rFonts w:hint="eastAsia" w:ascii="Times New Roman" w:hAnsi="Times New Roman" w:eastAsia="仿宋_GB2312" w:cs="Times New Roman"/>
          <w:b/>
          <w:bCs/>
          <w:color w:val="auto"/>
          <w:sz w:val="32"/>
          <w:szCs w:val="21"/>
          <w:highlight w:val="none"/>
          <w:lang w:val="en-US" w:eastAsia="zh-CN"/>
        </w:rPr>
        <w:t>9.您认为该部门在宣传国家政策、普及法规常识方面做得如何：</w:t>
      </w:r>
      <w:bookmarkEnd w:id="160"/>
    </w:p>
    <w:p w14:paraId="78A3822C">
      <w:pPr>
        <w:keepNext w:val="0"/>
        <w:keepLines w:val="0"/>
        <w:pageBreakBefore w:val="0"/>
        <w:widowControl w:val="0"/>
        <w:kinsoku/>
        <w:wordWrap/>
        <w:overflowPunct/>
        <w:topLinePunct w:val="0"/>
        <w:autoSpaceDE/>
        <w:autoSpaceDN/>
        <w:bidi w:val="0"/>
        <w:adjustRightInd/>
        <w:snapToGrid w:val="0"/>
        <w:spacing w:line="240" w:lineRule="auto"/>
        <w:ind w:left="0" w:leftChars="0" w:firstLine="640" w:firstLineChars="200"/>
        <w:textAlignment w:val="auto"/>
        <w:outlineLvl w:val="1"/>
        <w:rPr>
          <w:rFonts w:hint="eastAsia" w:ascii="Times New Roman" w:hAnsi="Times New Roman" w:eastAsia="仿宋_GB2312" w:cs="Times New Roman"/>
          <w:b w:val="0"/>
          <w:bCs w:val="0"/>
          <w:color w:val="auto"/>
          <w:sz w:val="32"/>
          <w:szCs w:val="21"/>
          <w:highlight w:val="none"/>
          <w:lang w:val="en-US" w:eastAsia="zh-CN"/>
        </w:rPr>
      </w:pPr>
      <w:bookmarkStart w:id="161" w:name="_Toc30125"/>
      <w:r>
        <w:rPr>
          <w:rFonts w:hint="eastAsia" w:ascii="Times New Roman" w:hAnsi="Times New Roman" w:eastAsia="仿宋_GB2312" w:cs="Times New Roman"/>
          <w:b w:val="0"/>
          <w:bCs w:val="0"/>
          <w:color w:val="auto"/>
          <w:sz w:val="32"/>
          <w:szCs w:val="21"/>
          <w:highlight w:val="none"/>
          <w:lang w:val="en-US" w:eastAsia="zh-CN"/>
        </w:rPr>
        <w:t>A.非常满意</w:t>
      </w:r>
      <w:bookmarkEnd w:id="161"/>
    </w:p>
    <w:p w14:paraId="0851143F">
      <w:pPr>
        <w:keepNext w:val="0"/>
        <w:keepLines w:val="0"/>
        <w:pageBreakBefore w:val="0"/>
        <w:widowControl w:val="0"/>
        <w:kinsoku/>
        <w:wordWrap/>
        <w:overflowPunct/>
        <w:topLinePunct w:val="0"/>
        <w:autoSpaceDE/>
        <w:autoSpaceDN/>
        <w:bidi w:val="0"/>
        <w:adjustRightInd/>
        <w:snapToGrid w:val="0"/>
        <w:spacing w:line="240" w:lineRule="auto"/>
        <w:ind w:left="0" w:leftChars="0" w:firstLine="640" w:firstLineChars="200"/>
        <w:textAlignment w:val="auto"/>
        <w:outlineLvl w:val="1"/>
        <w:rPr>
          <w:rFonts w:hint="eastAsia" w:ascii="Times New Roman" w:hAnsi="Times New Roman" w:eastAsia="仿宋_GB2312" w:cs="Times New Roman"/>
          <w:b w:val="0"/>
          <w:bCs w:val="0"/>
          <w:color w:val="auto"/>
          <w:sz w:val="32"/>
          <w:szCs w:val="21"/>
          <w:highlight w:val="none"/>
          <w:lang w:val="en-US" w:eastAsia="zh-CN"/>
        </w:rPr>
      </w:pPr>
      <w:bookmarkStart w:id="162" w:name="_Toc15276"/>
      <w:r>
        <w:rPr>
          <w:rFonts w:hint="eastAsia" w:ascii="Times New Roman" w:hAnsi="Times New Roman" w:eastAsia="仿宋_GB2312" w:cs="Times New Roman"/>
          <w:b w:val="0"/>
          <w:bCs w:val="0"/>
          <w:color w:val="auto"/>
          <w:sz w:val="32"/>
          <w:szCs w:val="21"/>
          <w:highlight w:val="none"/>
          <w:lang w:val="en-US" w:eastAsia="zh-CN"/>
        </w:rPr>
        <w:t>B.满意</w:t>
      </w:r>
      <w:bookmarkEnd w:id="162"/>
    </w:p>
    <w:p w14:paraId="0F3B9A8B">
      <w:pPr>
        <w:keepNext w:val="0"/>
        <w:keepLines w:val="0"/>
        <w:pageBreakBefore w:val="0"/>
        <w:widowControl w:val="0"/>
        <w:kinsoku/>
        <w:wordWrap/>
        <w:overflowPunct/>
        <w:topLinePunct w:val="0"/>
        <w:autoSpaceDE/>
        <w:autoSpaceDN/>
        <w:bidi w:val="0"/>
        <w:adjustRightInd/>
        <w:snapToGrid w:val="0"/>
        <w:spacing w:line="240" w:lineRule="auto"/>
        <w:ind w:left="0" w:leftChars="0" w:firstLine="640" w:firstLineChars="200"/>
        <w:textAlignment w:val="auto"/>
        <w:outlineLvl w:val="1"/>
        <w:rPr>
          <w:rFonts w:hint="eastAsia" w:ascii="Times New Roman" w:hAnsi="Times New Roman" w:eastAsia="仿宋_GB2312" w:cs="Times New Roman"/>
          <w:b w:val="0"/>
          <w:bCs w:val="0"/>
          <w:color w:val="auto"/>
          <w:sz w:val="32"/>
          <w:szCs w:val="21"/>
          <w:highlight w:val="none"/>
          <w:lang w:val="en-US" w:eastAsia="zh-CN"/>
        </w:rPr>
      </w:pPr>
      <w:bookmarkStart w:id="163" w:name="_Toc27292"/>
      <w:r>
        <w:rPr>
          <w:rFonts w:hint="eastAsia" w:ascii="Times New Roman" w:hAnsi="Times New Roman" w:eastAsia="仿宋_GB2312" w:cs="Times New Roman"/>
          <w:b w:val="0"/>
          <w:bCs w:val="0"/>
          <w:color w:val="auto"/>
          <w:sz w:val="32"/>
          <w:szCs w:val="21"/>
          <w:highlight w:val="none"/>
          <w:lang w:val="en-US" w:eastAsia="zh-CN"/>
        </w:rPr>
        <w:t>C.一般</w:t>
      </w:r>
      <w:bookmarkEnd w:id="163"/>
    </w:p>
    <w:p w14:paraId="6AE8C9A0">
      <w:pPr>
        <w:keepNext w:val="0"/>
        <w:keepLines w:val="0"/>
        <w:pageBreakBefore w:val="0"/>
        <w:widowControl w:val="0"/>
        <w:kinsoku/>
        <w:wordWrap/>
        <w:overflowPunct/>
        <w:topLinePunct w:val="0"/>
        <w:autoSpaceDE/>
        <w:autoSpaceDN/>
        <w:bidi w:val="0"/>
        <w:adjustRightInd/>
        <w:snapToGrid w:val="0"/>
        <w:spacing w:line="240" w:lineRule="auto"/>
        <w:ind w:left="0" w:leftChars="0" w:firstLine="640" w:firstLineChars="200"/>
        <w:textAlignment w:val="auto"/>
        <w:outlineLvl w:val="1"/>
        <w:rPr>
          <w:rFonts w:hint="eastAsia" w:ascii="Times New Roman" w:hAnsi="Times New Roman" w:eastAsia="仿宋_GB2312" w:cs="Times New Roman"/>
          <w:b w:val="0"/>
          <w:bCs w:val="0"/>
          <w:color w:val="auto"/>
          <w:sz w:val="32"/>
          <w:szCs w:val="21"/>
          <w:highlight w:val="none"/>
          <w:lang w:val="en-US" w:eastAsia="zh-CN"/>
        </w:rPr>
      </w:pPr>
      <w:bookmarkStart w:id="164" w:name="_Toc12912"/>
      <w:r>
        <w:rPr>
          <w:rFonts w:hint="eastAsia" w:ascii="Times New Roman" w:hAnsi="Times New Roman" w:eastAsia="仿宋_GB2312" w:cs="Times New Roman"/>
          <w:b w:val="0"/>
          <w:bCs w:val="0"/>
          <w:color w:val="auto"/>
          <w:sz w:val="32"/>
          <w:szCs w:val="21"/>
          <w:highlight w:val="none"/>
          <w:lang w:val="en-US" w:eastAsia="zh-CN"/>
        </w:rPr>
        <w:t>D.不满意</w:t>
      </w:r>
      <w:bookmarkEnd w:id="164"/>
    </w:p>
    <w:p w14:paraId="2B942F6D">
      <w:pPr>
        <w:keepNext w:val="0"/>
        <w:keepLines w:val="0"/>
        <w:pageBreakBefore w:val="0"/>
        <w:widowControl w:val="0"/>
        <w:kinsoku/>
        <w:wordWrap/>
        <w:overflowPunct/>
        <w:topLinePunct w:val="0"/>
        <w:autoSpaceDE/>
        <w:autoSpaceDN/>
        <w:bidi w:val="0"/>
        <w:adjustRightInd/>
        <w:snapToGrid w:val="0"/>
        <w:spacing w:line="240" w:lineRule="auto"/>
        <w:ind w:left="0" w:leftChars="0" w:firstLine="640" w:firstLineChars="200"/>
        <w:textAlignment w:val="auto"/>
        <w:outlineLvl w:val="1"/>
        <w:rPr>
          <w:rFonts w:hint="eastAsia" w:ascii="Times New Roman" w:hAnsi="Times New Roman" w:eastAsia="仿宋_GB2312" w:cs="Times New Roman"/>
          <w:b w:val="0"/>
          <w:bCs w:val="0"/>
          <w:color w:val="auto"/>
          <w:sz w:val="32"/>
          <w:szCs w:val="21"/>
          <w:highlight w:val="none"/>
          <w:lang w:val="en-US" w:eastAsia="zh-CN"/>
        </w:rPr>
      </w:pPr>
      <w:bookmarkStart w:id="165" w:name="_Toc5820"/>
      <w:r>
        <w:rPr>
          <w:rFonts w:hint="eastAsia" w:ascii="Times New Roman" w:hAnsi="Times New Roman" w:eastAsia="仿宋_GB2312" w:cs="Times New Roman"/>
          <w:b w:val="0"/>
          <w:bCs w:val="0"/>
          <w:color w:val="auto"/>
          <w:sz w:val="32"/>
          <w:szCs w:val="21"/>
          <w:highlight w:val="none"/>
          <w:lang w:val="en-US" w:eastAsia="zh-CN"/>
        </w:rPr>
        <w:t>E.很不满意</w:t>
      </w:r>
      <w:bookmarkEnd w:id="165"/>
    </w:p>
    <w:p w14:paraId="745706E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Calibri" w:hAnsi="Calibri" w:eastAsia="仿宋_GB2312" w:cs="Calibri"/>
          <w:color w:val="auto"/>
          <w:sz w:val="32"/>
          <w:szCs w:val="20"/>
          <w:highlight w:val="none"/>
        </w:rPr>
      </w:pPr>
    </w:p>
    <w:p w14:paraId="68F0048A">
      <w:pPr>
        <w:keepNext w:val="0"/>
        <w:keepLines w:val="0"/>
        <w:pageBreakBefore w:val="0"/>
        <w:widowControl w:val="0"/>
        <w:kinsoku/>
        <w:wordWrap/>
        <w:overflowPunct/>
        <w:topLinePunct w:val="0"/>
        <w:autoSpaceDE/>
        <w:autoSpaceDN/>
        <w:bidi w:val="0"/>
        <w:adjustRightInd/>
        <w:snapToGrid w:val="0"/>
        <w:spacing w:line="240" w:lineRule="auto"/>
        <w:ind w:left="0" w:leftChars="0" w:firstLine="643" w:firstLineChars="200"/>
        <w:textAlignment w:val="auto"/>
        <w:outlineLvl w:val="1"/>
        <w:rPr>
          <w:rFonts w:hint="eastAsia" w:ascii="Times New Roman" w:hAnsi="Times New Roman" w:eastAsia="仿宋_GB2312" w:cs="Times New Roman"/>
          <w:b/>
          <w:bCs/>
          <w:color w:val="auto"/>
          <w:sz w:val="32"/>
          <w:szCs w:val="21"/>
          <w:highlight w:val="none"/>
          <w:lang w:val="en-US" w:eastAsia="zh-CN"/>
        </w:rPr>
      </w:pPr>
      <w:bookmarkStart w:id="166" w:name="_Toc18800"/>
      <w:r>
        <w:rPr>
          <w:rFonts w:hint="eastAsia" w:ascii="Times New Roman" w:hAnsi="Times New Roman" w:eastAsia="仿宋_GB2312" w:cs="Times New Roman"/>
          <w:b/>
          <w:bCs/>
          <w:color w:val="auto"/>
          <w:sz w:val="32"/>
          <w:szCs w:val="21"/>
          <w:highlight w:val="none"/>
          <w:lang w:val="en-US" w:eastAsia="zh-CN"/>
        </w:rPr>
        <w:t>10.您认为该部门在改革和完善机关办事制度，缩短办事时间，提高工作效率方面做得如何：</w:t>
      </w:r>
      <w:bookmarkEnd w:id="166"/>
    </w:p>
    <w:p w14:paraId="57862E5C">
      <w:pPr>
        <w:keepNext w:val="0"/>
        <w:keepLines w:val="0"/>
        <w:pageBreakBefore w:val="0"/>
        <w:widowControl w:val="0"/>
        <w:kinsoku/>
        <w:wordWrap/>
        <w:overflowPunct/>
        <w:topLinePunct w:val="0"/>
        <w:autoSpaceDE/>
        <w:autoSpaceDN/>
        <w:bidi w:val="0"/>
        <w:adjustRightInd/>
        <w:snapToGrid w:val="0"/>
        <w:spacing w:line="240" w:lineRule="auto"/>
        <w:ind w:left="0" w:leftChars="0" w:firstLine="640" w:firstLineChars="200"/>
        <w:textAlignment w:val="auto"/>
        <w:outlineLvl w:val="1"/>
        <w:rPr>
          <w:rFonts w:hint="eastAsia" w:ascii="Times New Roman" w:hAnsi="Times New Roman" w:eastAsia="仿宋_GB2312" w:cs="Times New Roman"/>
          <w:b w:val="0"/>
          <w:bCs w:val="0"/>
          <w:color w:val="auto"/>
          <w:sz w:val="32"/>
          <w:szCs w:val="21"/>
          <w:highlight w:val="none"/>
          <w:lang w:val="en-US" w:eastAsia="zh-CN"/>
        </w:rPr>
      </w:pPr>
      <w:bookmarkStart w:id="167" w:name="_Toc6588"/>
      <w:r>
        <w:rPr>
          <w:rFonts w:hint="eastAsia" w:ascii="Times New Roman" w:hAnsi="Times New Roman" w:eastAsia="仿宋_GB2312" w:cs="Times New Roman"/>
          <w:b w:val="0"/>
          <w:bCs w:val="0"/>
          <w:color w:val="auto"/>
          <w:sz w:val="32"/>
          <w:szCs w:val="21"/>
          <w:highlight w:val="none"/>
          <w:lang w:val="en-US" w:eastAsia="zh-CN"/>
        </w:rPr>
        <w:t>A.非常满意</w:t>
      </w:r>
      <w:bookmarkEnd w:id="167"/>
    </w:p>
    <w:p w14:paraId="59203C15">
      <w:pPr>
        <w:keepNext w:val="0"/>
        <w:keepLines w:val="0"/>
        <w:pageBreakBefore w:val="0"/>
        <w:widowControl w:val="0"/>
        <w:kinsoku/>
        <w:wordWrap/>
        <w:overflowPunct/>
        <w:topLinePunct w:val="0"/>
        <w:autoSpaceDE/>
        <w:autoSpaceDN/>
        <w:bidi w:val="0"/>
        <w:adjustRightInd/>
        <w:snapToGrid w:val="0"/>
        <w:spacing w:line="240" w:lineRule="auto"/>
        <w:ind w:left="0" w:leftChars="0" w:firstLine="640" w:firstLineChars="200"/>
        <w:textAlignment w:val="auto"/>
        <w:outlineLvl w:val="1"/>
        <w:rPr>
          <w:rFonts w:hint="eastAsia" w:ascii="Times New Roman" w:hAnsi="Times New Roman" w:eastAsia="仿宋_GB2312" w:cs="Times New Roman"/>
          <w:b w:val="0"/>
          <w:bCs w:val="0"/>
          <w:color w:val="auto"/>
          <w:sz w:val="32"/>
          <w:szCs w:val="21"/>
          <w:highlight w:val="none"/>
          <w:lang w:val="en-US" w:eastAsia="zh-CN"/>
        </w:rPr>
      </w:pPr>
      <w:bookmarkStart w:id="168" w:name="_Toc6672"/>
      <w:r>
        <w:rPr>
          <w:rFonts w:hint="eastAsia" w:ascii="Times New Roman" w:hAnsi="Times New Roman" w:eastAsia="仿宋_GB2312" w:cs="Times New Roman"/>
          <w:b w:val="0"/>
          <w:bCs w:val="0"/>
          <w:color w:val="auto"/>
          <w:sz w:val="32"/>
          <w:szCs w:val="21"/>
          <w:highlight w:val="none"/>
          <w:lang w:val="en-US" w:eastAsia="zh-CN"/>
        </w:rPr>
        <w:t>B.满意</w:t>
      </w:r>
      <w:bookmarkEnd w:id="168"/>
    </w:p>
    <w:p w14:paraId="2BFCB6A9">
      <w:pPr>
        <w:keepNext w:val="0"/>
        <w:keepLines w:val="0"/>
        <w:pageBreakBefore w:val="0"/>
        <w:widowControl w:val="0"/>
        <w:kinsoku/>
        <w:wordWrap/>
        <w:overflowPunct/>
        <w:topLinePunct w:val="0"/>
        <w:autoSpaceDE/>
        <w:autoSpaceDN/>
        <w:bidi w:val="0"/>
        <w:adjustRightInd/>
        <w:snapToGrid w:val="0"/>
        <w:spacing w:line="240" w:lineRule="auto"/>
        <w:ind w:left="0" w:leftChars="0" w:firstLine="640" w:firstLineChars="200"/>
        <w:textAlignment w:val="auto"/>
        <w:outlineLvl w:val="1"/>
        <w:rPr>
          <w:rFonts w:hint="eastAsia" w:ascii="Times New Roman" w:hAnsi="Times New Roman" w:eastAsia="仿宋_GB2312" w:cs="Times New Roman"/>
          <w:b w:val="0"/>
          <w:bCs w:val="0"/>
          <w:color w:val="auto"/>
          <w:sz w:val="32"/>
          <w:szCs w:val="21"/>
          <w:highlight w:val="none"/>
          <w:lang w:val="en-US" w:eastAsia="zh-CN"/>
        </w:rPr>
      </w:pPr>
      <w:bookmarkStart w:id="169" w:name="_Toc1563"/>
      <w:r>
        <w:rPr>
          <w:rFonts w:hint="eastAsia" w:ascii="Times New Roman" w:hAnsi="Times New Roman" w:eastAsia="仿宋_GB2312" w:cs="Times New Roman"/>
          <w:b w:val="0"/>
          <w:bCs w:val="0"/>
          <w:color w:val="auto"/>
          <w:sz w:val="32"/>
          <w:szCs w:val="21"/>
          <w:highlight w:val="none"/>
          <w:lang w:val="en-US" w:eastAsia="zh-CN"/>
        </w:rPr>
        <w:t>C.一般</w:t>
      </w:r>
      <w:bookmarkEnd w:id="169"/>
    </w:p>
    <w:p w14:paraId="40B6935A">
      <w:pPr>
        <w:keepNext w:val="0"/>
        <w:keepLines w:val="0"/>
        <w:pageBreakBefore w:val="0"/>
        <w:widowControl w:val="0"/>
        <w:kinsoku/>
        <w:wordWrap/>
        <w:overflowPunct/>
        <w:topLinePunct w:val="0"/>
        <w:autoSpaceDE/>
        <w:autoSpaceDN/>
        <w:bidi w:val="0"/>
        <w:adjustRightInd/>
        <w:snapToGrid w:val="0"/>
        <w:spacing w:line="240" w:lineRule="auto"/>
        <w:ind w:left="0" w:leftChars="0" w:firstLine="640" w:firstLineChars="200"/>
        <w:textAlignment w:val="auto"/>
        <w:outlineLvl w:val="1"/>
        <w:rPr>
          <w:rFonts w:hint="eastAsia" w:ascii="Times New Roman" w:hAnsi="Times New Roman" w:eastAsia="仿宋_GB2312" w:cs="Times New Roman"/>
          <w:b w:val="0"/>
          <w:bCs w:val="0"/>
          <w:color w:val="auto"/>
          <w:sz w:val="32"/>
          <w:szCs w:val="21"/>
          <w:highlight w:val="none"/>
          <w:lang w:val="en-US" w:eastAsia="zh-CN"/>
        </w:rPr>
      </w:pPr>
      <w:bookmarkStart w:id="170" w:name="_Toc30933"/>
      <w:r>
        <w:rPr>
          <w:rFonts w:hint="eastAsia" w:ascii="Times New Roman" w:hAnsi="Times New Roman" w:eastAsia="仿宋_GB2312" w:cs="Times New Roman"/>
          <w:b w:val="0"/>
          <w:bCs w:val="0"/>
          <w:color w:val="auto"/>
          <w:sz w:val="32"/>
          <w:szCs w:val="21"/>
          <w:highlight w:val="none"/>
          <w:lang w:val="en-US" w:eastAsia="zh-CN"/>
        </w:rPr>
        <w:t>D.不满意</w:t>
      </w:r>
      <w:bookmarkEnd w:id="170"/>
    </w:p>
    <w:p w14:paraId="1CECA867">
      <w:pPr>
        <w:keepNext w:val="0"/>
        <w:keepLines w:val="0"/>
        <w:pageBreakBefore w:val="0"/>
        <w:widowControl w:val="0"/>
        <w:kinsoku/>
        <w:wordWrap/>
        <w:overflowPunct/>
        <w:topLinePunct w:val="0"/>
        <w:autoSpaceDE/>
        <w:autoSpaceDN/>
        <w:bidi w:val="0"/>
        <w:adjustRightInd/>
        <w:snapToGrid w:val="0"/>
        <w:spacing w:line="240" w:lineRule="auto"/>
        <w:ind w:left="0" w:leftChars="0" w:firstLine="640" w:firstLineChars="200"/>
        <w:textAlignment w:val="auto"/>
        <w:outlineLvl w:val="1"/>
        <w:rPr>
          <w:rFonts w:hint="eastAsia" w:ascii="Times New Roman" w:hAnsi="Times New Roman" w:eastAsia="仿宋_GB2312" w:cs="Times New Roman"/>
          <w:b w:val="0"/>
          <w:bCs w:val="0"/>
          <w:color w:val="auto"/>
          <w:sz w:val="32"/>
          <w:szCs w:val="21"/>
          <w:highlight w:val="none"/>
          <w:lang w:val="en-US" w:eastAsia="zh-CN"/>
        </w:rPr>
      </w:pPr>
      <w:bookmarkStart w:id="171" w:name="_Toc16966"/>
      <w:r>
        <w:rPr>
          <w:rFonts w:hint="eastAsia" w:ascii="Times New Roman" w:hAnsi="Times New Roman" w:eastAsia="仿宋_GB2312" w:cs="Times New Roman"/>
          <w:b w:val="0"/>
          <w:bCs w:val="0"/>
          <w:color w:val="auto"/>
          <w:sz w:val="32"/>
          <w:szCs w:val="21"/>
          <w:highlight w:val="none"/>
          <w:lang w:val="en-US" w:eastAsia="zh-CN"/>
        </w:rPr>
        <w:t>E.很不满意</w:t>
      </w:r>
      <w:bookmarkEnd w:id="171"/>
    </w:p>
    <w:p w14:paraId="3B10B271">
      <w:pPr>
        <w:keepNext w:val="0"/>
        <w:keepLines w:val="0"/>
        <w:pageBreakBefore w:val="0"/>
        <w:widowControl w:val="0"/>
        <w:kinsoku/>
        <w:wordWrap/>
        <w:overflowPunct/>
        <w:topLinePunct w:val="0"/>
        <w:autoSpaceDE/>
        <w:autoSpaceDN/>
        <w:bidi w:val="0"/>
        <w:adjustRightInd/>
        <w:snapToGrid w:val="0"/>
        <w:spacing w:line="240" w:lineRule="auto"/>
        <w:ind w:left="0" w:leftChars="0" w:firstLine="643" w:firstLineChars="200"/>
        <w:textAlignment w:val="auto"/>
        <w:outlineLvl w:val="1"/>
        <w:rPr>
          <w:rFonts w:hint="eastAsia" w:ascii="Times New Roman" w:hAnsi="Times New Roman" w:eastAsia="仿宋_GB2312" w:cs="Times New Roman"/>
          <w:b/>
          <w:bCs/>
          <w:color w:val="auto"/>
          <w:sz w:val="32"/>
          <w:szCs w:val="21"/>
          <w:highlight w:val="none"/>
          <w:lang w:val="en-US" w:eastAsia="zh-CN"/>
        </w:rPr>
      </w:pPr>
    </w:p>
    <w:p w14:paraId="32131328">
      <w:pPr>
        <w:keepNext w:val="0"/>
        <w:keepLines w:val="0"/>
        <w:pageBreakBefore w:val="0"/>
        <w:widowControl w:val="0"/>
        <w:kinsoku/>
        <w:wordWrap/>
        <w:overflowPunct/>
        <w:topLinePunct w:val="0"/>
        <w:autoSpaceDE/>
        <w:autoSpaceDN/>
        <w:bidi w:val="0"/>
        <w:adjustRightInd/>
        <w:snapToGrid w:val="0"/>
        <w:spacing w:line="240" w:lineRule="auto"/>
        <w:ind w:left="0" w:leftChars="0" w:firstLine="643" w:firstLineChars="200"/>
        <w:textAlignment w:val="auto"/>
        <w:outlineLvl w:val="1"/>
        <w:rPr>
          <w:rFonts w:hint="eastAsia" w:ascii="Times New Roman" w:hAnsi="Times New Roman" w:eastAsia="仿宋_GB2312" w:cs="Times New Roman"/>
          <w:b/>
          <w:bCs/>
          <w:color w:val="auto"/>
          <w:sz w:val="32"/>
          <w:szCs w:val="21"/>
          <w:highlight w:val="none"/>
          <w:lang w:val="en-US" w:eastAsia="zh-CN"/>
        </w:rPr>
      </w:pPr>
      <w:bookmarkStart w:id="172" w:name="_Toc28300"/>
      <w:r>
        <w:rPr>
          <w:rFonts w:hint="eastAsia" w:ascii="Times New Roman" w:hAnsi="Times New Roman" w:eastAsia="仿宋_GB2312" w:cs="Times New Roman"/>
          <w:b/>
          <w:bCs/>
          <w:color w:val="auto"/>
          <w:sz w:val="32"/>
          <w:szCs w:val="21"/>
          <w:highlight w:val="none"/>
          <w:lang w:val="en-US" w:eastAsia="zh-CN"/>
        </w:rPr>
        <w:t>11.您认为该部门在实施信息公开方面，如党务、政务、办事程序、财务公开等方面做得如何：</w:t>
      </w:r>
      <w:bookmarkEnd w:id="172"/>
    </w:p>
    <w:p w14:paraId="3662E8D4">
      <w:pPr>
        <w:keepNext w:val="0"/>
        <w:keepLines w:val="0"/>
        <w:pageBreakBefore w:val="0"/>
        <w:widowControl w:val="0"/>
        <w:kinsoku/>
        <w:wordWrap/>
        <w:overflowPunct/>
        <w:topLinePunct w:val="0"/>
        <w:autoSpaceDE/>
        <w:autoSpaceDN/>
        <w:bidi w:val="0"/>
        <w:adjustRightInd/>
        <w:snapToGrid w:val="0"/>
        <w:spacing w:line="240" w:lineRule="auto"/>
        <w:ind w:left="0" w:leftChars="0" w:firstLine="640" w:firstLineChars="200"/>
        <w:textAlignment w:val="auto"/>
        <w:outlineLvl w:val="1"/>
        <w:rPr>
          <w:rFonts w:hint="eastAsia" w:ascii="Times New Roman" w:hAnsi="Times New Roman" w:eastAsia="仿宋_GB2312" w:cs="Times New Roman"/>
          <w:b w:val="0"/>
          <w:bCs w:val="0"/>
          <w:color w:val="auto"/>
          <w:sz w:val="32"/>
          <w:szCs w:val="21"/>
          <w:highlight w:val="none"/>
          <w:lang w:val="en-US" w:eastAsia="zh-CN"/>
        </w:rPr>
      </w:pPr>
      <w:bookmarkStart w:id="173" w:name="_Toc18330"/>
      <w:r>
        <w:rPr>
          <w:rFonts w:hint="eastAsia" w:ascii="Times New Roman" w:hAnsi="Times New Roman" w:eastAsia="仿宋_GB2312" w:cs="Times New Roman"/>
          <w:b w:val="0"/>
          <w:bCs w:val="0"/>
          <w:color w:val="auto"/>
          <w:sz w:val="32"/>
          <w:szCs w:val="21"/>
          <w:highlight w:val="none"/>
          <w:lang w:val="en-US" w:eastAsia="zh-CN"/>
        </w:rPr>
        <w:t>A.非常满意</w:t>
      </w:r>
      <w:bookmarkEnd w:id="173"/>
    </w:p>
    <w:p w14:paraId="1254EEFA">
      <w:pPr>
        <w:keepNext w:val="0"/>
        <w:keepLines w:val="0"/>
        <w:pageBreakBefore w:val="0"/>
        <w:widowControl w:val="0"/>
        <w:kinsoku/>
        <w:wordWrap/>
        <w:overflowPunct/>
        <w:topLinePunct w:val="0"/>
        <w:autoSpaceDE/>
        <w:autoSpaceDN/>
        <w:bidi w:val="0"/>
        <w:adjustRightInd/>
        <w:snapToGrid w:val="0"/>
        <w:spacing w:line="240" w:lineRule="auto"/>
        <w:ind w:left="0" w:leftChars="0" w:firstLine="640" w:firstLineChars="200"/>
        <w:textAlignment w:val="auto"/>
        <w:outlineLvl w:val="1"/>
        <w:rPr>
          <w:rFonts w:hint="eastAsia" w:ascii="Times New Roman" w:hAnsi="Times New Roman" w:eastAsia="仿宋_GB2312" w:cs="Times New Roman"/>
          <w:b w:val="0"/>
          <w:bCs w:val="0"/>
          <w:color w:val="auto"/>
          <w:sz w:val="32"/>
          <w:szCs w:val="21"/>
          <w:highlight w:val="none"/>
          <w:lang w:val="en-US" w:eastAsia="zh-CN"/>
        </w:rPr>
      </w:pPr>
      <w:bookmarkStart w:id="174" w:name="_Toc31677"/>
      <w:r>
        <w:rPr>
          <w:rFonts w:hint="eastAsia" w:ascii="Times New Roman" w:hAnsi="Times New Roman" w:eastAsia="仿宋_GB2312" w:cs="Times New Roman"/>
          <w:b w:val="0"/>
          <w:bCs w:val="0"/>
          <w:color w:val="auto"/>
          <w:sz w:val="32"/>
          <w:szCs w:val="21"/>
          <w:highlight w:val="none"/>
          <w:lang w:val="en-US" w:eastAsia="zh-CN"/>
        </w:rPr>
        <w:t>B.满意</w:t>
      </w:r>
      <w:bookmarkEnd w:id="174"/>
    </w:p>
    <w:p w14:paraId="64326587">
      <w:pPr>
        <w:keepNext w:val="0"/>
        <w:keepLines w:val="0"/>
        <w:pageBreakBefore w:val="0"/>
        <w:widowControl w:val="0"/>
        <w:kinsoku/>
        <w:wordWrap/>
        <w:overflowPunct/>
        <w:topLinePunct w:val="0"/>
        <w:autoSpaceDE/>
        <w:autoSpaceDN/>
        <w:bidi w:val="0"/>
        <w:adjustRightInd/>
        <w:snapToGrid w:val="0"/>
        <w:spacing w:line="240" w:lineRule="auto"/>
        <w:ind w:left="0" w:leftChars="0" w:firstLine="640" w:firstLineChars="200"/>
        <w:textAlignment w:val="auto"/>
        <w:outlineLvl w:val="1"/>
        <w:rPr>
          <w:rFonts w:hint="eastAsia" w:ascii="Times New Roman" w:hAnsi="Times New Roman" w:eastAsia="仿宋_GB2312" w:cs="Times New Roman"/>
          <w:b w:val="0"/>
          <w:bCs w:val="0"/>
          <w:color w:val="auto"/>
          <w:sz w:val="32"/>
          <w:szCs w:val="21"/>
          <w:highlight w:val="none"/>
          <w:lang w:val="en-US" w:eastAsia="zh-CN"/>
        </w:rPr>
      </w:pPr>
      <w:bookmarkStart w:id="175" w:name="_Toc22176"/>
      <w:r>
        <w:rPr>
          <w:rFonts w:hint="eastAsia" w:ascii="Times New Roman" w:hAnsi="Times New Roman" w:eastAsia="仿宋_GB2312" w:cs="Times New Roman"/>
          <w:b w:val="0"/>
          <w:bCs w:val="0"/>
          <w:color w:val="auto"/>
          <w:sz w:val="32"/>
          <w:szCs w:val="21"/>
          <w:highlight w:val="none"/>
          <w:lang w:val="en-US" w:eastAsia="zh-CN"/>
        </w:rPr>
        <w:t>C.一般</w:t>
      </w:r>
      <w:bookmarkEnd w:id="175"/>
    </w:p>
    <w:p w14:paraId="7BB2D944">
      <w:pPr>
        <w:keepNext w:val="0"/>
        <w:keepLines w:val="0"/>
        <w:pageBreakBefore w:val="0"/>
        <w:widowControl w:val="0"/>
        <w:kinsoku/>
        <w:wordWrap/>
        <w:overflowPunct/>
        <w:topLinePunct w:val="0"/>
        <w:autoSpaceDE/>
        <w:autoSpaceDN/>
        <w:bidi w:val="0"/>
        <w:adjustRightInd/>
        <w:snapToGrid w:val="0"/>
        <w:spacing w:line="240" w:lineRule="auto"/>
        <w:ind w:left="0" w:leftChars="0" w:firstLine="640" w:firstLineChars="200"/>
        <w:textAlignment w:val="auto"/>
        <w:outlineLvl w:val="1"/>
        <w:rPr>
          <w:rFonts w:hint="eastAsia" w:ascii="Times New Roman" w:hAnsi="Times New Roman" w:eastAsia="仿宋_GB2312" w:cs="Times New Roman"/>
          <w:b w:val="0"/>
          <w:bCs w:val="0"/>
          <w:color w:val="auto"/>
          <w:sz w:val="32"/>
          <w:szCs w:val="21"/>
          <w:highlight w:val="none"/>
          <w:lang w:val="en-US" w:eastAsia="zh-CN"/>
        </w:rPr>
      </w:pPr>
      <w:bookmarkStart w:id="176" w:name="_Toc126"/>
      <w:r>
        <w:rPr>
          <w:rFonts w:hint="eastAsia" w:ascii="Times New Roman" w:hAnsi="Times New Roman" w:eastAsia="仿宋_GB2312" w:cs="Times New Roman"/>
          <w:b w:val="0"/>
          <w:bCs w:val="0"/>
          <w:color w:val="auto"/>
          <w:sz w:val="32"/>
          <w:szCs w:val="21"/>
          <w:highlight w:val="none"/>
          <w:lang w:val="en-US" w:eastAsia="zh-CN"/>
        </w:rPr>
        <w:t>D.不满意</w:t>
      </w:r>
      <w:bookmarkEnd w:id="176"/>
    </w:p>
    <w:p w14:paraId="2C6EF852">
      <w:pPr>
        <w:keepNext w:val="0"/>
        <w:keepLines w:val="0"/>
        <w:pageBreakBefore w:val="0"/>
        <w:widowControl w:val="0"/>
        <w:kinsoku/>
        <w:wordWrap/>
        <w:overflowPunct/>
        <w:topLinePunct w:val="0"/>
        <w:autoSpaceDE/>
        <w:autoSpaceDN/>
        <w:bidi w:val="0"/>
        <w:adjustRightInd/>
        <w:snapToGrid w:val="0"/>
        <w:spacing w:line="240" w:lineRule="auto"/>
        <w:ind w:left="0" w:leftChars="0" w:firstLine="640" w:firstLineChars="200"/>
        <w:textAlignment w:val="auto"/>
        <w:outlineLvl w:val="1"/>
        <w:rPr>
          <w:rFonts w:hint="eastAsia" w:ascii="Times New Roman" w:hAnsi="Times New Roman" w:eastAsia="仿宋_GB2312" w:cs="Times New Roman"/>
          <w:b w:val="0"/>
          <w:bCs w:val="0"/>
          <w:color w:val="auto"/>
          <w:sz w:val="32"/>
          <w:szCs w:val="21"/>
          <w:highlight w:val="none"/>
          <w:lang w:val="en-US" w:eastAsia="zh-CN"/>
        </w:rPr>
      </w:pPr>
      <w:bookmarkStart w:id="177" w:name="_Toc12797"/>
      <w:r>
        <w:rPr>
          <w:rFonts w:hint="eastAsia" w:ascii="Times New Roman" w:hAnsi="Times New Roman" w:eastAsia="仿宋_GB2312" w:cs="Times New Roman"/>
          <w:b w:val="0"/>
          <w:bCs w:val="0"/>
          <w:color w:val="auto"/>
          <w:sz w:val="32"/>
          <w:szCs w:val="21"/>
          <w:highlight w:val="none"/>
          <w:lang w:val="en-US" w:eastAsia="zh-CN"/>
        </w:rPr>
        <w:t>E.很不满意</w:t>
      </w:r>
      <w:bookmarkEnd w:id="177"/>
    </w:p>
    <w:p w14:paraId="23509988">
      <w:pPr>
        <w:keepNext w:val="0"/>
        <w:keepLines w:val="0"/>
        <w:pageBreakBefore w:val="0"/>
        <w:widowControl w:val="0"/>
        <w:kinsoku/>
        <w:wordWrap/>
        <w:overflowPunct/>
        <w:topLinePunct w:val="0"/>
        <w:autoSpaceDE/>
        <w:autoSpaceDN/>
        <w:bidi w:val="0"/>
        <w:adjustRightInd/>
        <w:snapToGrid w:val="0"/>
        <w:spacing w:line="240" w:lineRule="auto"/>
        <w:ind w:left="0" w:leftChars="0" w:firstLine="643" w:firstLineChars="200"/>
        <w:textAlignment w:val="auto"/>
        <w:outlineLvl w:val="1"/>
        <w:rPr>
          <w:rFonts w:hint="eastAsia" w:ascii="Times New Roman" w:hAnsi="Times New Roman" w:eastAsia="仿宋_GB2312" w:cs="Times New Roman"/>
          <w:b/>
          <w:bCs/>
          <w:color w:val="auto"/>
          <w:sz w:val="32"/>
          <w:szCs w:val="21"/>
          <w:highlight w:val="none"/>
          <w:lang w:val="en-US" w:eastAsia="zh-CN"/>
        </w:rPr>
      </w:pPr>
    </w:p>
    <w:p w14:paraId="7E9DCC6E">
      <w:pPr>
        <w:keepNext w:val="0"/>
        <w:keepLines w:val="0"/>
        <w:pageBreakBefore w:val="0"/>
        <w:widowControl w:val="0"/>
        <w:kinsoku/>
        <w:wordWrap/>
        <w:overflowPunct/>
        <w:topLinePunct w:val="0"/>
        <w:autoSpaceDE/>
        <w:autoSpaceDN/>
        <w:bidi w:val="0"/>
        <w:adjustRightInd/>
        <w:snapToGrid w:val="0"/>
        <w:spacing w:line="240" w:lineRule="auto"/>
        <w:ind w:left="0" w:leftChars="0" w:firstLine="643" w:firstLineChars="200"/>
        <w:textAlignment w:val="auto"/>
        <w:outlineLvl w:val="1"/>
        <w:rPr>
          <w:rFonts w:hint="eastAsia" w:ascii="Times New Roman" w:hAnsi="Times New Roman" w:eastAsia="仿宋_GB2312" w:cs="Times New Roman"/>
          <w:b/>
          <w:bCs/>
          <w:color w:val="auto"/>
          <w:sz w:val="32"/>
          <w:szCs w:val="21"/>
          <w:highlight w:val="none"/>
          <w:lang w:val="en-US" w:eastAsia="zh-CN"/>
        </w:rPr>
      </w:pPr>
      <w:bookmarkStart w:id="178" w:name="_Toc13354"/>
      <w:r>
        <w:rPr>
          <w:rFonts w:hint="eastAsia" w:ascii="Times New Roman" w:hAnsi="Times New Roman" w:eastAsia="仿宋_GB2312" w:cs="Times New Roman"/>
          <w:b/>
          <w:bCs/>
          <w:color w:val="auto"/>
          <w:sz w:val="32"/>
          <w:szCs w:val="21"/>
          <w:highlight w:val="none"/>
          <w:lang w:val="en-US" w:eastAsia="zh-CN"/>
        </w:rPr>
        <w:t>12.您认为该部门在厉行节约、制止奢侈浪费行为等方面做得如何：</w:t>
      </w:r>
      <w:bookmarkEnd w:id="178"/>
    </w:p>
    <w:p w14:paraId="0A0B406F">
      <w:pPr>
        <w:keepNext w:val="0"/>
        <w:keepLines w:val="0"/>
        <w:pageBreakBefore w:val="0"/>
        <w:widowControl w:val="0"/>
        <w:kinsoku/>
        <w:wordWrap/>
        <w:overflowPunct/>
        <w:topLinePunct w:val="0"/>
        <w:autoSpaceDE/>
        <w:autoSpaceDN/>
        <w:bidi w:val="0"/>
        <w:adjustRightInd/>
        <w:snapToGrid w:val="0"/>
        <w:spacing w:line="240" w:lineRule="auto"/>
        <w:ind w:left="0" w:leftChars="0" w:firstLine="640" w:firstLineChars="200"/>
        <w:textAlignment w:val="auto"/>
        <w:outlineLvl w:val="1"/>
        <w:rPr>
          <w:rFonts w:hint="eastAsia" w:ascii="Times New Roman" w:hAnsi="Times New Roman" w:eastAsia="仿宋_GB2312" w:cs="Times New Roman"/>
          <w:b w:val="0"/>
          <w:bCs w:val="0"/>
          <w:color w:val="auto"/>
          <w:sz w:val="32"/>
          <w:szCs w:val="21"/>
          <w:highlight w:val="none"/>
          <w:lang w:val="en-US" w:eastAsia="zh-CN"/>
        </w:rPr>
      </w:pPr>
      <w:bookmarkStart w:id="179" w:name="_Toc15836"/>
      <w:r>
        <w:rPr>
          <w:rFonts w:hint="eastAsia" w:ascii="Times New Roman" w:hAnsi="Times New Roman" w:eastAsia="仿宋_GB2312" w:cs="Times New Roman"/>
          <w:b w:val="0"/>
          <w:bCs w:val="0"/>
          <w:color w:val="auto"/>
          <w:sz w:val="32"/>
          <w:szCs w:val="21"/>
          <w:highlight w:val="none"/>
          <w:lang w:val="en-US" w:eastAsia="zh-CN"/>
        </w:rPr>
        <w:t>A.非常满意</w:t>
      </w:r>
      <w:bookmarkEnd w:id="179"/>
    </w:p>
    <w:p w14:paraId="71DDE774">
      <w:pPr>
        <w:keepNext w:val="0"/>
        <w:keepLines w:val="0"/>
        <w:pageBreakBefore w:val="0"/>
        <w:widowControl w:val="0"/>
        <w:kinsoku/>
        <w:wordWrap/>
        <w:overflowPunct/>
        <w:topLinePunct w:val="0"/>
        <w:autoSpaceDE/>
        <w:autoSpaceDN/>
        <w:bidi w:val="0"/>
        <w:adjustRightInd/>
        <w:snapToGrid w:val="0"/>
        <w:spacing w:line="240" w:lineRule="auto"/>
        <w:ind w:left="0" w:leftChars="0" w:firstLine="640" w:firstLineChars="200"/>
        <w:textAlignment w:val="auto"/>
        <w:outlineLvl w:val="1"/>
        <w:rPr>
          <w:rFonts w:hint="eastAsia" w:ascii="Times New Roman" w:hAnsi="Times New Roman" w:eastAsia="仿宋_GB2312" w:cs="Times New Roman"/>
          <w:b w:val="0"/>
          <w:bCs w:val="0"/>
          <w:color w:val="auto"/>
          <w:sz w:val="32"/>
          <w:szCs w:val="21"/>
          <w:highlight w:val="none"/>
          <w:lang w:val="en-US" w:eastAsia="zh-CN"/>
        </w:rPr>
      </w:pPr>
      <w:bookmarkStart w:id="180" w:name="_Toc13190"/>
      <w:r>
        <w:rPr>
          <w:rFonts w:hint="eastAsia" w:ascii="Times New Roman" w:hAnsi="Times New Roman" w:eastAsia="仿宋_GB2312" w:cs="Times New Roman"/>
          <w:b w:val="0"/>
          <w:bCs w:val="0"/>
          <w:color w:val="auto"/>
          <w:sz w:val="32"/>
          <w:szCs w:val="21"/>
          <w:highlight w:val="none"/>
          <w:lang w:val="en-US" w:eastAsia="zh-CN"/>
        </w:rPr>
        <w:t>B.满意</w:t>
      </w:r>
      <w:bookmarkEnd w:id="180"/>
    </w:p>
    <w:p w14:paraId="6C1CA97E">
      <w:pPr>
        <w:keepNext w:val="0"/>
        <w:keepLines w:val="0"/>
        <w:pageBreakBefore w:val="0"/>
        <w:widowControl w:val="0"/>
        <w:kinsoku/>
        <w:wordWrap/>
        <w:overflowPunct/>
        <w:topLinePunct w:val="0"/>
        <w:autoSpaceDE/>
        <w:autoSpaceDN/>
        <w:bidi w:val="0"/>
        <w:adjustRightInd/>
        <w:snapToGrid w:val="0"/>
        <w:spacing w:line="240" w:lineRule="auto"/>
        <w:ind w:left="0" w:leftChars="0" w:firstLine="640" w:firstLineChars="200"/>
        <w:textAlignment w:val="auto"/>
        <w:outlineLvl w:val="1"/>
        <w:rPr>
          <w:rFonts w:hint="eastAsia" w:ascii="Times New Roman" w:hAnsi="Times New Roman" w:eastAsia="仿宋_GB2312" w:cs="Times New Roman"/>
          <w:b w:val="0"/>
          <w:bCs w:val="0"/>
          <w:color w:val="auto"/>
          <w:sz w:val="32"/>
          <w:szCs w:val="21"/>
          <w:highlight w:val="none"/>
          <w:lang w:val="en-US" w:eastAsia="zh-CN"/>
        </w:rPr>
      </w:pPr>
      <w:bookmarkStart w:id="181" w:name="_Toc4083"/>
      <w:r>
        <w:rPr>
          <w:rFonts w:hint="eastAsia" w:ascii="Times New Roman" w:hAnsi="Times New Roman" w:eastAsia="仿宋_GB2312" w:cs="Times New Roman"/>
          <w:b w:val="0"/>
          <w:bCs w:val="0"/>
          <w:color w:val="auto"/>
          <w:sz w:val="32"/>
          <w:szCs w:val="21"/>
          <w:highlight w:val="none"/>
          <w:lang w:val="en-US" w:eastAsia="zh-CN"/>
        </w:rPr>
        <w:t>C.一般</w:t>
      </w:r>
      <w:bookmarkEnd w:id="181"/>
    </w:p>
    <w:p w14:paraId="5D966B8F">
      <w:pPr>
        <w:keepNext w:val="0"/>
        <w:keepLines w:val="0"/>
        <w:pageBreakBefore w:val="0"/>
        <w:widowControl w:val="0"/>
        <w:kinsoku/>
        <w:wordWrap/>
        <w:overflowPunct/>
        <w:topLinePunct w:val="0"/>
        <w:autoSpaceDE/>
        <w:autoSpaceDN/>
        <w:bidi w:val="0"/>
        <w:adjustRightInd/>
        <w:snapToGrid w:val="0"/>
        <w:spacing w:line="240" w:lineRule="auto"/>
        <w:ind w:left="0" w:leftChars="0" w:firstLine="640" w:firstLineChars="200"/>
        <w:textAlignment w:val="auto"/>
        <w:outlineLvl w:val="1"/>
        <w:rPr>
          <w:rFonts w:hint="eastAsia" w:ascii="Times New Roman" w:hAnsi="Times New Roman" w:eastAsia="仿宋_GB2312" w:cs="Times New Roman"/>
          <w:b w:val="0"/>
          <w:bCs w:val="0"/>
          <w:color w:val="auto"/>
          <w:sz w:val="32"/>
          <w:szCs w:val="21"/>
          <w:highlight w:val="none"/>
          <w:lang w:val="en-US" w:eastAsia="zh-CN"/>
        </w:rPr>
      </w:pPr>
      <w:bookmarkStart w:id="182" w:name="_Toc8540"/>
      <w:r>
        <w:rPr>
          <w:rFonts w:hint="eastAsia" w:ascii="Times New Roman" w:hAnsi="Times New Roman" w:eastAsia="仿宋_GB2312" w:cs="Times New Roman"/>
          <w:b w:val="0"/>
          <w:bCs w:val="0"/>
          <w:color w:val="auto"/>
          <w:sz w:val="32"/>
          <w:szCs w:val="21"/>
          <w:highlight w:val="none"/>
          <w:lang w:val="en-US" w:eastAsia="zh-CN"/>
        </w:rPr>
        <w:t>D.不满意</w:t>
      </w:r>
      <w:bookmarkEnd w:id="182"/>
    </w:p>
    <w:p w14:paraId="508EE28A">
      <w:pPr>
        <w:keepNext w:val="0"/>
        <w:keepLines w:val="0"/>
        <w:pageBreakBefore w:val="0"/>
        <w:widowControl w:val="0"/>
        <w:kinsoku/>
        <w:wordWrap/>
        <w:overflowPunct/>
        <w:topLinePunct w:val="0"/>
        <w:autoSpaceDE/>
        <w:autoSpaceDN/>
        <w:bidi w:val="0"/>
        <w:adjustRightInd/>
        <w:snapToGrid w:val="0"/>
        <w:spacing w:line="240" w:lineRule="auto"/>
        <w:ind w:left="0" w:leftChars="0" w:firstLine="640" w:firstLineChars="200"/>
        <w:textAlignment w:val="auto"/>
        <w:outlineLvl w:val="1"/>
        <w:rPr>
          <w:rFonts w:hint="eastAsia" w:ascii="Times New Roman" w:hAnsi="Times New Roman" w:eastAsia="仿宋_GB2312" w:cs="Times New Roman"/>
          <w:b w:val="0"/>
          <w:bCs w:val="0"/>
          <w:color w:val="auto"/>
          <w:sz w:val="32"/>
          <w:szCs w:val="21"/>
          <w:highlight w:val="none"/>
          <w:lang w:val="en-US" w:eastAsia="zh-CN"/>
        </w:rPr>
      </w:pPr>
      <w:bookmarkStart w:id="183" w:name="_Toc7237"/>
      <w:r>
        <w:rPr>
          <w:rFonts w:hint="eastAsia" w:ascii="Times New Roman" w:hAnsi="Times New Roman" w:eastAsia="仿宋_GB2312" w:cs="Times New Roman"/>
          <w:b w:val="0"/>
          <w:bCs w:val="0"/>
          <w:color w:val="auto"/>
          <w:sz w:val="32"/>
          <w:szCs w:val="21"/>
          <w:highlight w:val="none"/>
          <w:lang w:val="en-US" w:eastAsia="zh-CN"/>
        </w:rPr>
        <w:t>E.很不满意</w:t>
      </w:r>
      <w:bookmarkEnd w:id="183"/>
    </w:p>
    <w:p w14:paraId="498C087E">
      <w:pPr>
        <w:keepNext w:val="0"/>
        <w:keepLines w:val="0"/>
        <w:pageBreakBefore w:val="0"/>
        <w:widowControl w:val="0"/>
        <w:kinsoku/>
        <w:wordWrap/>
        <w:overflowPunct/>
        <w:topLinePunct w:val="0"/>
        <w:autoSpaceDE/>
        <w:autoSpaceDN/>
        <w:bidi w:val="0"/>
        <w:adjustRightInd/>
        <w:snapToGrid w:val="0"/>
        <w:spacing w:line="240" w:lineRule="auto"/>
        <w:ind w:left="0" w:leftChars="0" w:firstLine="643" w:firstLineChars="200"/>
        <w:textAlignment w:val="auto"/>
        <w:outlineLvl w:val="1"/>
        <w:rPr>
          <w:rFonts w:hint="eastAsia" w:ascii="Times New Roman" w:hAnsi="Times New Roman" w:eastAsia="仿宋_GB2312" w:cs="Times New Roman"/>
          <w:b/>
          <w:bCs/>
          <w:color w:val="auto"/>
          <w:sz w:val="32"/>
          <w:szCs w:val="21"/>
          <w:highlight w:val="none"/>
          <w:lang w:val="en-US" w:eastAsia="zh-CN"/>
        </w:rPr>
      </w:pPr>
    </w:p>
    <w:p w14:paraId="4990DA13">
      <w:pPr>
        <w:keepNext w:val="0"/>
        <w:keepLines w:val="0"/>
        <w:pageBreakBefore w:val="0"/>
        <w:widowControl w:val="0"/>
        <w:kinsoku/>
        <w:wordWrap/>
        <w:overflowPunct/>
        <w:topLinePunct w:val="0"/>
        <w:autoSpaceDE/>
        <w:autoSpaceDN/>
        <w:bidi w:val="0"/>
        <w:adjustRightInd/>
        <w:snapToGrid w:val="0"/>
        <w:spacing w:line="240" w:lineRule="auto"/>
        <w:ind w:left="0" w:leftChars="0" w:firstLine="643" w:firstLineChars="200"/>
        <w:textAlignment w:val="auto"/>
        <w:outlineLvl w:val="1"/>
        <w:rPr>
          <w:rFonts w:hint="eastAsia" w:ascii="Times New Roman" w:hAnsi="Times New Roman" w:eastAsia="仿宋_GB2312" w:cs="Times New Roman"/>
          <w:b/>
          <w:bCs/>
          <w:color w:val="auto"/>
          <w:sz w:val="32"/>
          <w:szCs w:val="21"/>
          <w:highlight w:val="none"/>
          <w:lang w:val="en-US" w:eastAsia="zh-CN"/>
        </w:rPr>
      </w:pPr>
      <w:bookmarkStart w:id="184" w:name="_Toc29839"/>
      <w:r>
        <w:rPr>
          <w:rFonts w:hint="eastAsia" w:ascii="Times New Roman" w:hAnsi="Times New Roman" w:eastAsia="仿宋_GB2312" w:cs="Times New Roman"/>
          <w:b/>
          <w:bCs/>
          <w:color w:val="auto"/>
          <w:sz w:val="32"/>
          <w:szCs w:val="21"/>
          <w:highlight w:val="none"/>
          <w:lang w:val="en-US" w:eastAsia="zh-CN"/>
        </w:rPr>
        <w:t>13.您对该部门2022年度工作的总体评价是：</w:t>
      </w:r>
      <w:bookmarkEnd w:id="184"/>
    </w:p>
    <w:p w14:paraId="3702D1A4">
      <w:pPr>
        <w:keepNext w:val="0"/>
        <w:keepLines w:val="0"/>
        <w:pageBreakBefore w:val="0"/>
        <w:widowControl w:val="0"/>
        <w:kinsoku/>
        <w:wordWrap/>
        <w:overflowPunct/>
        <w:topLinePunct w:val="0"/>
        <w:autoSpaceDE/>
        <w:autoSpaceDN/>
        <w:bidi w:val="0"/>
        <w:adjustRightInd/>
        <w:snapToGrid w:val="0"/>
        <w:spacing w:line="240" w:lineRule="auto"/>
        <w:ind w:left="0" w:leftChars="0" w:firstLine="640" w:firstLineChars="200"/>
        <w:textAlignment w:val="auto"/>
        <w:outlineLvl w:val="1"/>
        <w:rPr>
          <w:rFonts w:hint="eastAsia" w:ascii="Times New Roman" w:hAnsi="Times New Roman" w:eastAsia="仿宋_GB2312" w:cs="Times New Roman"/>
          <w:b w:val="0"/>
          <w:bCs w:val="0"/>
          <w:color w:val="auto"/>
          <w:sz w:val="32"/>
          <w:szCs w:val="21"/>
          <w:highlight w:val="none"/>
          <w:lang w:val="en-US" w:eastAsia="zh-CN"/>
        </w:rPr>
      </w:pPr>
      <w:bookmarkStart w:id="185" w:name="_Toc19788"/>
      <w:r>
        <w:rPr>
          <w:rFonts w:hint="eastAsia" w:ascii="Times New Roman" w:hAnsi="Times New Roman" w:eastAsia="仿宋_GB2312" w:cs="Times New Roman"/>
          <w:b w:val="0"/>
          <w:bCs w:val="0"/>
          <w:color w:val="auto"/>
          <w:sz w:val="32"/>
          <w:szCs w:val="21"/>
          <w:highlight w:val="none"/>
          <w:lang w:val="en-US" w:eastAsia="zh-CN"/>
        </w:rPr>
        <w:t>A.非常满意</w:t>
      </w:r>
      <w:bookmarkEnd w:id="185"/>
    </w:p>
    <w:p w14:paraId="12871242">
      <w:pPr>
        <w:keepNext w:val="0"/>
        <w:keepLines w:val="0"/>
        <w:pageBreakBefore w:val="0"/>
        <w:widowControl w:val="0"/>
        <w:kinsoku/>
        <w:wordWrap/>
        <w:overflowPunct/>
        <w:topLinePunct w:val="0"/>
        <w:autoSpaceDE/>
        <w:autoSpaceDN/>
        <w:bidi w:val="0"/>
        <w:adjustRightInd/>
        <w:snapToGrid w:val="0"/>
        <w:spacing w:line="240" w:lineRule="auto"/>
        <w:ind w:left="0" w:leftChars="0" w:firstLine="640" w:firstLineChars="200"/>
        <w:textAlignment w:val="auto"/>
        <w:outlineLvl w:val="1"/>
        <w:rPr>
          <w:rFonts w:hint="eastAsia" w:ascii="Times New Roman" w:hAnsi="Times New Roman" w:eastAsia="仿宋_GB2312" w:cs="Times New Roman"/>
          <w:b w:val="0"/>
          <w:bCs w:val="0"/>
          <w:color w:val="auto"/>
          <w:sz w:val="32"/>
          <w:szCs w:val="21"/>
          <w:highlight w:val="none"/>
          <w:lang w:val="en-US" w:eastAsia="zh-CN"/>
        </w:rPr>
      </w:pPr>
      <w:bookmarkStart w:id="186" w:name="_Toc10297"/>
      <w:r>
        <w:rPr>
          <w:rFonts w:hint="eastAsia" w:ascii="Times New Roman" w:hAnsi="Times New Roman" w:eastAsia="仿宋_GB2312" w:cs="Times New Roman"/>
          <w:b w:val="0"/>
          <w:bCs w:val="0"/>
          <w:color w:val="auto"/>
          <w:sz w:val="32"/>
          <w:szCs w:val="21"/>
          <w:highlight w:val="none"/>
          <w:lang w:val="en-US" w:eastAsia="zh-CN"/>
        </w:rPr>
        <w:t>B.满意</w:t>
      </w:r>
      <w:bookmarkEnd w:id="186"/>
    </w:p>
    <w:p w14:paraId="2D95012F">
      <w:pPr>
        <w:keepNext w:val="0"/>
        <w:keepLines w:val="0"/>
        <w:pageBreakBefore w:val="0"/>
        <w:widowControl w:val="0"/>
        <w:kinsoku/>
        <w:wordWrap/>
        <w:overflowPunct/>
        <w:topLinePunct w:val="0"/>
        <w:autoSpaceDE/>
        <w:autoSpaceDN/>
        <w:bidi w:val="0"/>
        <w:adjustRightInd/>
        <w:snapToGrid w:val="0"/>
        <w:spacing w:line="240" w:lineRule="auto"/>
        <w:ind w:left="0" w:leftChars="0" w:firstLine="640" w:firstLineChars="200"/>
        <w:textAlignment w:val="auto"/>
        <w:outlineLvl w:val="1"/>
        <w:rPr>
          <w:rFonts w:hint="eastAsia" w:ascii="Times New Roman" w:hAnsi="Times New Roman" w:eastAsia="仿宋_GB2312" w:cs="Times New Roman"/>
          <w:b w:val="0"/>
          <w:bCs w:val="0"/>
          <w:color w:val="auto"/>
          <w:sz w:val="32"/>
          <w:szCs w:val="21"/>
          <w:highlight w:val="none"/>
          <w:lang w:val="en-US" w:eastAsia="zh-CN"/>
        </w:rPr>
      </w:pPr>
      <w:bookmarkStart w:id="187" w:name="_Toc2616"/>
      <w:r>
        <w:rPr>
          <w:rFonts w:hint="eastAsia" w:ascii="Times New Roman" w:hAnsi="Times New Roman" w:eastAsia="仿宋_GB2312" w:cs="Times New Roman"/>
          <w:b w:val="0"/>
          <w:bCs w:val="0"/>
          <w:color w:val="auto"/>
          <w:sz w:val="32"/>
          <w:szCs w:val="21"/>
          <w:highlight w:val="none"/>
          <w:lang w:val="en-US" w:eastAsia="zh-CN"/>
        </w:rPr>
        <w:t>C.一般</w:t>
      </w:r>
      <w:bookmarkEnd w:id="187"/>
    </w:p>
    <w:p w14:paraId="3DAA54F1">
      <w:pPr>
        <w:keepNext w:val="0"/>
        <w:keepLines w:val="0"/>
        <w:pageBreakBefore w:val="0"/>
        <w:widowControl w:val="0"/>
        <w:kinsoku/>
        <w:wordWrap/>
        <w:overflowPunct/>
        <w:topLinePunct w:val="0"/>
        <w:autoSpaceDE/>
        <w:autoSpaceDN/>
        <w:bidi w:val="0"/>
        <w:adjustRightInd/>
        <w:snapToGrid w:val="0"/>
        <w:spacing w:line="240" w:lineRule="auto"/>
        <w:ind w:left="0" w:leftChars="0" w:firstLine="640" w:firstLineChars="200"/>
        <w:textAlignment w:val="auto"/>
        <w:outlineLvl w:val="1"/>
        <w:rPr>
          <w:rFonts w:hint="eastAsia" w:ascii="Times New Roman" w:hAnsi="Times New Roman" w:eastAsia="仿宋_GB2312" w:cs="Times New Roman"/>
          <w:b w:val="0"/>
          <w:bCs w:val="0"/>
          <w:color w:val="auto"/>
          <w:sz w:val="32"/>
          <w:szCs w:val="21"/>
          <w:highlight w:val="none"/>
          <w:lang w:val="en-US" w:eastAsia="zh-CN"/>
        </w:rPr>
      </w:pPr>
      <w:bookmarkStart w:id="188" w:name="_Toc25940"/>
      <w:r>
        <w:rPr>
          <w:rFonts w:hint="eastAsia" w:ascii="Times New Roman" w:hAnsi="Times New Roman" w:eastAsia="仿宋_GB2312" w:cs="Times New Roman"/>
          <w:b w:val="0"/>
          <w:bCs w:val="0"/>
          <w:color w:val="auto"/>
          <w:sz w:val="32"/>
          <w:szCs w:val="21"/>
          <w:highlight w:val="none"/>
          <w:lang w:val="en-US" w:eastAsia="zh-CN"/>
        </w:rPr>
        <w:t>D.不满意</w:t>
      </w:r>
      <w:bookmarkEnd w:id="188"/>
    </w:p>
    <w:p w14:paraId="1602EE39">
      <w:pPr>
        <w:keepNext w:val="0"/>
        <w:keepLines w:val="0"/>
        <w:pageBreakBefore w:val="0"/>
        <w:widowControl w:val="0"/>
        <w:kinsoku/>
        <w:wordWrap/>
        <w:overflowPunct/>
        <w:topLinePunct w:val="0"/>
        <w:autoSpaceDE/>
        <w:autoSpaceDN/>
        <w:bidi w:val="0"/>
        <w:adjustRightInd/>
        <w:snapToGrid w:val="0"/>
        <w:spacing w:line="240" w:lineRule="auto"/>
        <w:ind w:left="0" w:leftChars="0" w:firstLine="640" w:firstLineChars="200"/>
        <w:textAlignment w:val="auto"/>
        <w:outlineLvl w:val="1"/>
        <w:rPr>
          <w:rFonts w:hint="eastAsia" w:ascii="Times New Roman" w:hAnsi="Times New Roman" w:eastAsia="仿宋_GB2312" w:cs="Times New Roman"/>
          <w:b w:val="0"/>
          <w:bCs w:val="0"/>
          <w:color w:val="auto"/>
          <w:sz w:val="32"/>
          <w:szCs w:val="21"/>
          <w:highlight w:val="none"/>
          <w:lang w:val="en-US" w:eastAsia="zh-CN"/>
        </w:rPr>
      </w:pPr>
      <w:bookmarkStart w:id="189" w:name="_Toc1126"/>
      <w:r>
        <w:rPr>
          <w:rFonts w:hint="eastAsia" w:ascii="Times New Roman" w:hAnsi="Times New Roman" w:eastAsia="仿宋_GB2312" w:cs="Times New Roman"/>
          <w:b w:val="0"/>
          <w:bCs w:val="0"/>
          <w:color w:val="auto"/>
          <w:sz w:val="32"/>
          <w:szCs w:val="21"/>
          <w:highlight w:val="none"/>
          <w:lang w:val="en-US" w:eastAsia="zh-CN"/>
        </w:rPr>
        <w:t>E.很不满意</w:t>
      </w:r>
      <w:bookmarkEnd w:id="189"/>
    </w:p>
    <w:p w14:paraId="674C4F3C">
      <w:pPr>
        <w:keepNext w:val="0"/>
        <w:keepLines w:val="0"/>
        <w:pageBreakBefore w:val="0"/>
        <w:widowControl w:val="0"/>
        <w:kinsoku/>
        <w:wordWrap/>
        <w:overflowPunct/>
        <w:topLinePunct w:val="0"/>
        <w:autoSpaceDE/>
        <w:autoSpaceDN/>
        <w:bidi w:val="0"/>
        <w:adjustRightInd/>
        <w:snapToGrid w:val="0"/>
        <w:spacing w:line="240" w:lineRule="auto"/>
        <w:ind w:left="0" w:leftChars="0" w:firstLine="643" w:firstLineChars="200"/>
        <w:textAlignment w:val="auto"/>
        <w:outlineLvl w:val="1"/>
        <w:rPr>
          <w:rFonts w:hint="eastAsia"/>
          <w:b/>
          <w:bCs/>
          <w:color w:val="auto"/>
          <w:highlight w:val="none"/>
        </w:rPr>
      </w:pPr>
      <w:bookmarkStart w:id="190" w:name="_Toc15090"/>
      <w:r>
        <w:rPr>
          <w:rFonts w:hint="eastAsia" w:ascii="Times New Roman" w:hAnsi="Times New Roman" w:eastAsia="仿宋_GB2312" w:cs="Times New Roman"/>
          <w:b/>
          <w:bCs/>
          <w:color w:val="auto"/>
          <w:sz w:val="32"/>
          <w:szCs w:val="21"/>
          <w:highlight w:val="none"/>
          <w:lang w:val="en-US" w:eastAsia="zh-CN"/>
        </w:rPr>
        <w:t>14.您对本部门的工作还有哪些意见和建议：</w:t>
      </w:r>
      <w:bookmarkEnd w:id="190"/>
    </w:p>
    <w:p w14:paraId="0559D59C">
      <w:pPr>
        <w:bidi w:val="0"/>
        <w:rPr>
          <w:rFonts w:hint="eastAsia"/>
          <w:color w:val="auto"/>
          <w:highlight w:val="none"/>
        </w:rPr>
      </w:pPr>
    </w:p>
    <w:p w14:paraId="140EA288">
      <w:pPr>
        <w:bidi w:val="0"/>
        <w:rPr>
          <w:color w:val="auto"/>
          <w:highlight w:val="none"/>
        </w:rPr>
        <w:sectPr>
          <w:pgSz w:w="11906" w:h="16838"/>
          <w:pgMar w:top="1440" w:right="1800" w:bottom="1440" w:left="1800" w:header="851" w:footer="992" w:gutter="0"/>
          <w:pgNumType w:fmt="decimal"/>
          <w:cols w:space="720" w:num="1"/>
          <w:docGrid w:type="lines" w:linePitch="312" w:charSpace="0"/>
        </w:sectPr>
      </w:pPr>
    </w:p>
    <w:p w14:paraId="65E81A4A">
      <w:pPr>
        <w:spacing w:before="312" w:beforeLines="100" w:line="360" w:lineRule="auto"/>
        <w:ind w:left="0" w:leftChars="0" w:firstLine="0" w:firstLineChars="0"/>
        <w:jc w:val="left"/>
        <w:outlineLvl w:val="0"/>
        <w:rPr>
          <w:rFonts w:hint="eastAsia" w:ascii="楷体_GB2312" w:hAnsi="楷体_GB2312" w:eastAsia="楷体_GB2312" w:cs="楷体_GB2312"/>
          <w:b/>
          <w:bCs/>
          <w:color w:val="auto"/>
          <w:sz w:val="32"/>
          <w:szCs w:val="32"/>
          <w:highlight w:val="none"/>
        </w:rPr>
      </w:pPr>
      <w:bookmarkStart w:id="191" w:name="_Toc11574"/>
      <w:r>
        <w:rPr>
          <w:rFonts w:hint="eastAsia" w:ascii="楷体_GB2312" w:hAnsi="楷体_GB2312" w:eastAsia="楷体_GB2312" w:cs="楷体_GB2312"/>
          <w:b/>
          <w:bCs/>
          <w:color w:val="auto"/>
          <w:sz w:val="32"/>
          <w:szCs w:val="32"/>
          <w:highlight w:val="none"/>
        </w:rPr>
        <w:t>附件3：</w:t>
      </w:r>
      <w:bookmarkEnd w:id="191"/>
    </w:p>
    <w:p w14:paraId="06B37641">
      <w:pPr>
        <w:bidi w:val="0"/>
        <w:ind w:left="0" w:leftChars="0" w:firstLine="0" w:firstLineChars="0"/>
        <w:jc w:val="center"/>
        <w:rPr>
          <w:rFonts w:hint="eastAsia"/>
          <w:b/>
          <w:bCs/>
          <w:color w:val="auto"/>
          <w:highlight w:val="none"/>
        </w:rPr>
      </w:pPr>
      <w:r>
        <w:rPr>
          <w:b/>
          <w:bCs/>
          <w:color w:val="auto"/>
          <w:highlight w:val="none"/>
        </w:rPr>
        <w:t>部门整体支出资金安排表</w:t>
      </w:r>
      <w:bookmarkEnd w:id="116"/>
      <w:bookmarkEnd w:id="117"/>
      <w:bookmarkEnd w:id="118"/>
      <w:bookmarkEnd w:id="119"/>
    </w:p>
    <w:p w14:paraId="1E911074">
      <w:pPr>
        <w:bidi w:val="0"/>
        <w:jc w:val="right"/>
        <w:rPr>
          <w:color w:val="auto"/>
          <w:sz w:val="24"/>
          <w:szCs w:val="18"/>
          <w:highlight w:val="none"/>
        </w:rPr>
      </w:pPr>
      <w:r>
        <w:rPr>
          <w:rFonts w:hint="eastAsia"/>
          <w:color w:val="auto"/>
          <w:sz w:val="24"/>
          <w:szCs w:val="18"/>
          <w:highlight w:val="none"/>
        </w:rPr>
        <w:t>单位：万元</w:t>
      </w:r>
    </w:p>
    <w:tbl>
      <w:tblPr>
        <w:tblStyle w:val="22"/>
        <w:tblW w:w="9819" w:type="dxa"/>
        <w:tblInd w:w="-8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420"/>
        <w:gridCol w:w="1155"/>
        <w:gridCol w:w="1245"/>
        <w:gridCol w:w="1065"/>
        <w:gridCol w:w="1620"/>
        <w:gridCol w:w="1185"/>
        <w:gridCol w:w="1110"/>
        <w:gridCol w:w="1019"/>
      </w:tblGrid>
      <w:tr w14:paraId="6AD72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8" w:hRule="atLeast"/>
          <w:tblHeader/>
        </w:trPr>
        <w:tc>
          <w:tcPr>
            <w:tcW w:w="4885" w:type="dxa"/>
            <w:gridSpan w:val="4"/>
            <w:tcBorders>
              <w:top w:val="single" w:color="auto" w:sz="4" w:space="0"/>
            </w:tcBorders>
            <w:shd w:val="clear" w:color="auto" w:fill="auto"/>
            <w:noWrap w:val="0"/>
            <w:vAlign w:val="center"/>
          </w:tcPr>
          <w:p w14:paraId="1E47F8EF">
            <w:pPr>
              <w:widowControl/>
              <w:spacing w:line="240" w:lineRule="auto"/>
              <w:ind w:left="0" w:leftChars="0" w:firstLine="0" w:firstLineChars="0"/>
              <w:jc w:val="center"/>
              <w:textAlignment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kern w:val="0"/>
                <w:sz w:val="21"/>
                <w:szCs w:val="21"/>
                <w:highlight w:val="none"/>
                <w:lang w:bidi="ar"/>
              </w:rPr>
              <w:t>收入</w:t>
            </w:r>
          </w:p>
        </w:tc>
        <w:tc>
          <w:tcPr>
            <w:tcW w:w="4934" w:type="dxa"/>
            <w:gridSpan w:val="4"/>
            <w:tcBorders>
              <w:top w:val="single" w:color="auto" w:sz="4" w:space="0"/>
            </w:tcBorders>
            <w:shd w:val="clear" w:color="auto" w:fill="auto"/>
            <w:noWrap w:val="0"/>
            <w:vAlign w:val="center"/>
          </w:tcPr>
          <w:p w14:paraId="0F798DB7">
            <w:pPr>
              <w:widowControl/>
              <w:spacing w:line="240" w:lineRule="auto"/>
              <w:ind w:left="0" w:leftChars="0" w:firstLine="0" w:firstLineChars="0"/>
              <w:jc w:val="center"/>
              <w:textAlignment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kern w:val="0"/>
                <w:sz w:val="21"/>
                <w:szCs w:val="21"/>
                <w:highlight w:val="none"/>
                <w:lang w:bidi="ar"/>
              </w:rPr>
              <w:t>支出</w:t>
            </w:r>
          </w:p>
        </w:tc>
      </w:tr>
      <w:tr w14:paraId="57170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64" w:hRule="atLeast"/>
          <w:tblHeader/>
        </w:trPr>
        <w:tc>
          <w:tcPr>
            <w:tcW w:w="1420" w:type="dxa"/>
            <w:shd w:val="clear" w:color="auto" w:fill="auto"/>
            <w:noWrap w:val="0"/>
            <w:vAlign w:val="center"/>
          </w:tcPr>
          <w:p w14:paraId="41DAF088">
            <w:pPr>
              <w:widowControl/>
              <w:spacing w:line="240" w:lineRule="auto"/>
              <w:ind w:left="0" w:leftChars="0" w:firstLine="0" w:firstLineChars="0"/>
              <w:jc w:val="center"/>
              <w:textAlignment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kern w:val="0"/>
                <w:sz w:val="21"/>
                <w:szCs w:val="21"/>
                <w:highlight w:val="none"/>
                <w:lang w:bidi="ar"/>
              </w:rPr>
              <w:t>项目</w:t>
            </w:r>
          </w:p>
        </w:tc>
        <w:tc>
          <w:tcPr>
            <w:tcW w:w="1155" w:type="dxa"/>
            <w:shd w:val="clear" w:color="auto" w:fill="auto"/>
            <w:noWrap w:val="0"/>
            <w:vAlign w:val="center"/>
          </w:tcPr>
          <w:p w14:paraId="1A3A5FB1">
            <w:pPr>
              <w:widowControl/>
              <w:spacing w:line="240" w:lineRule="auto"/>
              <w:ind w:left="0" w:leftChars="0" w:firstLine="0" w:firstLineChars="0"/>
              <w:jc w:val="center"/>
              <w:textAlignment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kern w:val="0"/>
                <w:sz w:val="21"/>
                <w:szCs w:val="21"/>
                <w:highlight w:val="none"/>
                <w:lang w:bidi="ar"/>
              </w:rPr>
              <w:t>年初预算数</w:t>
            </w:r>
          </w:p>
        </w:tc>
        <w:tc>
          <w:tcPr>
            <w:tcW w:w="1245" w:type="dxa"/>
            <w:shd w:val="clear" w:color="auto" w:fill="auto"/>
            <w:noWrap w:val="0"/>
            <w:vAlign w:val="center"/>
          </w:tcPr>
          <w:p w14:paraId="26E86AF6">
            <w:pPr>
              <w:widowControl/>
              <w:spacing w:line="240" w:lineRule="auto"/>
              <w:ind w:left="0" w:leftChars="0" w:firstLine="0" w:firstLineChars="0"/>
              <w:jc w:val="center"/>
              <w:textAlignment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kern w:val="0"/>
                <w:sz w:val="21"/>
                <w:szCs w:val="21"/>
                <w:highlight w:val="none"/>
                <w:lang w:bidi="ar"/>
              </w:rPr>
              <w:t>全年预算数</w:t>
            </w:r>
          </w:p>
        </w:tc>
        <w:tc>
          <w:tcPr>
            <w:tcW w:w="1065" w:type="dxa"/>
            <w:shd w:val="clear" w:color="auto" w:fill="auto"/>
            <w:noWrap w:val="0"/>
            <w:vAlign w:val="center"/>
          </w:tcPr>
          <w:p w14:paraId="3A3B395B">
            <w:pPr>
              <w:widowControl/>
              <w:spacing w:line="240" w:lineRule="auto"/>
              <w:ind w:left="0" w:leftChars="0" w:firstLine="0" w:firstLineChars="0"/>
              <w:jc w:val="center"/>
              <w:textAlignment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kern w:val="0"/>
                <w:sz w:val="21"/>
                <w:szCs w:val="21"/>
                <w:highlight w:val="none"/>
                <w:lang w:bidi="ar"/>
              </w:rPr>
              <w:t>决算数</w:t>
            </w:r>
          </w:p>
        </w:tc>
        <w:tc>
          <w:tcPr>
            <w:tcW w:w="1620" w:type="dxa"/>
            <w:shd w:val="clear" w:color="auto" w:fill="auto"/>
            <w:noWrap w:val="0"/>
            <w:vAlign w:val="center"/>
          </w:tcPr>
          <w:p w14:paraId="515C3F66">
            <w:pPr>
              <w:widowControl/>
              <w:spacing w:line="240" w:lineRule="auto"/>
              <w:ind w:left="0" w:leftChars="0" w:firstLine="0" w:firstLineChars="0"/>
              <w:jc w:val="center"/>
              <w:textAlignment w:val="center"/>
              <w:rPr>
                <w:rFonts w:hint="default" w:ascii="Times New Roman" w:hAnsi="Times New Roman" w:cs="Times New Roman"/>
                <w:b/>
                <w:color w:val="auto"/>
                <w:kern w:val="0"/>
                <w:sz w:val="21"/>
                <w:szCs w:val="21"/>
                <w:highlight w:val="none"/>
                <w:lang w:bidi="ar"/>
              </w:rPr>
            </w:pPr>
            <w:r>
              <w:rPr>
                <w:rFonts w:hint="default" w:ascii="Times New Roman" w:hAnsi="Times New Roman" w:cs="Times New Roman"/>
                <w:b/>
                <w:color w:val="auto"/>
                <w:kern w:val="0"/>
                <w:sz w:val="21"/>
                <w:szCs w:val="21"/>
                <w:highlight w:val="none"/>
                <w:lang w:bidi="ar"/>
              </w:rPr>
              <w:t>项目</w:t>
            </w:r>
          </w:p>
          <w:p w14:paraId="42685BCE">
            <w:pPr>
              <w:widowControl/>
              <w:spacing w:line="240" w:lineRule="auto"/>
              <w:ind w:left="0" w:leftChars="0" w:firstLine="0" w:firstLineChars="0"/>
              <w:jc w:val="center"/>
              <w:textAlignment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kern w:val="0"/>
                <w:sz w:val="21"/>
                <w:szCs w:val="21"/>
                <w:highlight w:val="none"/>
                <w:lang w:bidi="ar"/>
              </w:rPr>
              <w:t>(按支出性质)</w:t>
            </w:r>
          </w:p>
        </w:tc>
        <w:tc>
          <w:tcPr>
            <w:tcW w:w="1185" w:type="dxa"/>
            <w:shd w:val="clear" w:color="auto" w:fill="auto"/>
            <w:noWrap w:val="0"/>
            <w:vAlign w:val="center"/>
          </w:tcPr>
          <w:p w14:paraId="634A6B24">
            <w:pPr>
              <w:widowControl/>
              <w:spacing w:line="240" w:lineRule="auto"/>
              <w:ind w:left="0" w:leftChars="0" w:firstLine="0" w:firstLineChars="0"/>
              <w:jc w:val="center"/>
              <w:textAlignment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kern w:val="0"/>
                <w:sz w:val="21"/>
                <w:szCs w:val="21"/>
                <w:highlight w:val="none"/>
                <w:lang w:bidi="ar"/>
              </w:rPr>
              <w:t>年初预算数</w:t>
            </w:r>
          </w:p>
        </w:tc>
        <w:tc>
          <w:tcPr>
            <w:tcW w:w="1110" w:type="dxa"/>
            <w:shd w:val="clear" w:color="auto" w:fill="auto"/>
            <w:noWrap w:val="0"/>
            <w:vAlign w:val="center"/>
          </w:tcPr>
          <w:p w14:paraId="1720313E">
            <w:pPr>
              <w:widowControl/>
              <w:spacing w:line="240" w:lineRule="auto"/>
              <w:ind w:left="0" w:leftChars="0" w:firstLine="0" w:firstLineChars="0"/>
              <w:jc w:val="center"/>
              <w:textAlignment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kern w:val="0"/>
                <w:sz w:val="21"/>
                <w:szCs w:val="21"/>
                <w:highlight w:val="none"/>
                <w:lang w:bidi="ar"/>
              </w:rPr>
              <w:t>全年预算数</w:t>
            </w:r>
          </w:p>
        </w:tc>
        <w:tc>
          <w:tcPr>
            <w:tcW w:w="1019" w:type="dxa"/>
            <w:shd w:val="clear" w:color="auto" w:fill="auto"/>
            <w:noWrap w:val="0"/>
            <w:vAlign w:val="center"/>
          </w:tcPr>
          <w:p w14:paraId="38ED87D4">
            <w:pPr>
              <w:widowControl/>
              <w:spacing w:line="240" w:lineRule="auto"/>
              <w:ind w:left="0" w:leftChars="0" w:firstLine="0" w:firstLineChars="0"/>
              <w:jc w:val="center"/>
              <w:textAlignment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kern w:val="0"/>
                <w:sz w:val="21"/>
                <w:szCs w:val="21"/>
                <w:highlight w:val="none"/>
                <w:lang w:bidi="ar"/>
              </w:rPr>
              <w:t>决算数</w:t>
            </w:r>
          </w:p>
        </w:tc>
      </w:tr>
      <w:tr w14:paraId="7E4DC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81" w:hRule="atLeast"/>
        </w:trPr>
        <w:tc>
          <w:tcPr>
            <w:tcW w:w="1420" w:type="dxa"/>
            <w:shd w:val="clear" w:color="auto" w:fill="auto"/>
            <w:noWrap w:val="0"/>
            <w:vAlign w:val="center"/>
          </w:tcPr>
          <w:p w14:paraId="29FD5D01">
            <w:pPr>
              <w:widowControl/>
              <w:spacing w:line="240" w:lineRule="auto"/>
              <w:ind w:left="0" w:leftChars="0" w:firstLine="0" w:firstLineChars="0"/>
              <w:jc w:val="lef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lang w:bidi="ar"/>
              </w:rPr>
              <w:t>一、财政拨款收入</w:t>
            </w:r>
          </w:p>
        </w:tc>
        <w:tc>
          <w:tcPr>
            <w:tcW w:w="1155" w:type="dxa"/>
            <w:shd w:val="clear" w:color="auto" w:fill="auto"/>
            <w:noWrap w:val="0"/>
            <w:vAlign w:val="center"/>
          </w:tcPr>
          <w:p w14:paraId="3DFBAB35">
            <w:pPr>
              <w:widowControl/>
              <w:spacing w:line="240" w:lineRule="auto"/>
              <w:ind w:left="0" w:leftChars="0" w:firstLine="0" w:firstLineChars="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1,880.83</w:t>
            </w:r>
          </w:p>
        </w:tc>
        <w:tc>
          <w:tcPr>
            <w:tcW w:w="1245" w:type="dxa"/>
            <w:shd w:val="clear" w:color="auto" w:fill="auto"/>
            <w:noWrap w:val="0"/>
            <w:vAlign w:val="center"/>
          </w:tcPr>
          <w:p w14:paraId="4A632505">
            <w:pPr>
              <w:widowControl/>
              <w:spacing w:line="240" w:lineRule="auto"/>
              <w:ind w:left="0" w:leftChars="0" w:firstLine="0" w:firstLineChars="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2,594.98</w:t>
            </w:r>
          </w:p>
        </w:tc>
        <w:tc>
          <w:tcPr>
            <w:tcW w:w="1065" w:type="dxa"/>
            <w:shd w:val="clear" w:color="auto" w:fill="auto"/>
            <w:noWrap w:val="0"/>
            <w:vAlign w:val="center"/>
          </w:tcPr>
          <w:p w14:paraId="7145036E">
            <w:pPr>
              <w:widowControl/>
              <w:spacing w:line="240" w:lineRule="auto"/>
              <w:ind w:left="0" w:leftChars="0" w:firstLine="0" w:firstLineChars="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2,594.98</w:t>
            </w:r>
          </w:p>
        </w:tc>
        <w:tc>
          <w:tcPr>
            <w:tcW w:w="1620" w:type="dxa"/>
            <w:shd w:val="clear" w:color="auto" w:fill="auto"/>
            <w:noWrap w:val="0"/>
            <w:vAlign w:val="center"/>
          </w:tcPr>
          <w:p w14:paraId="06F556C5">
            <w:pPr>
              <w:widowControl/>
              <w:spacing w:line="240" w:lineRule="auto"/>
              <w:ind w:left="0" w:leftChars="0" w:firstLine="0" w:firstLineChars="0"/>
              <w:jc w:val="lef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lang w:bidi="ar"/>
              </w:rPr>
              <w:t>一、基本支出</w:t>
            </w:r>
          </w:p>
        </w:tc>
        <w:tc>
          <w:tcPr>
            <w:tcW w:w="1185" w:type="dxa"/>
            <w:shd w:val="clear" w:color="auto" w:fill="auto"/>
            <w:noWrap w:val="0"/>
            <w:vAlign w:val="center"/>
          </w:tcPr>
          <w:p w14:paraId="44FAC94D">
            <w:pPr>
              <w:widowControl/>
              <w:spacing w:line="240" w:lineRule="auto"/>
              <w:ind w:left="0" w:leftChars="0" w:firstLine="0" w:firstLineChars="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1,792.51</w:t>
            </w:r>
          </w:p>
        </w:tc>
        <w:tc>
          <w:tcPr>
            <w:tcW w:w="1110" w:type="dxa"/>
            <w:shd w:val="clear" w:color="auto" w:fill="auto"/>
            <w:noWrap w:val="0"/>
            <w:vAlign w:val="center"/>
          </w:tcPr>
          <w:p w14:paraId="17A364FC">
            <w:pPr>
              <w:widowControl/>
              <w:spacing w:line="240" w:lineRule="auto"/>
              <w:ind w:left="0" w:leftChars="0" w:firstLine="0" w:firstLineChars="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2,330.16</w:t>
            </w:r>
          </w:p>
        </w:tc>
        <w:tc>
          <w:tcPr>
            <w:tcW w:w="1019" w:type="dxa"/>
            <w:shd w:val="clear" w:color="auto" w:fill="auto"/>
            <w:noWrap w:val="0"/>
            <w:vAlign w:val="center"/>
          </w:tcPr>
          <w:p w14:paraId="50D8ADB0">
            <w:pPr>
              <w:widowControl/>
              <w:spacing w:line="240" w:lineRule="auto"/>
              <w:ind w:left="0" w:leftChars="0" w:firstLine="0" w:firstLineChars="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2,330.16</w:t>
            </w:r>
          </w:p>
        </w:tc>
      </w:tr>
      <w:tr w14:paraId="31B04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04" w:hRule="atLeast"/>
        </w:trPr>
        <w:tc>
          <w:tcPr>
            <w:tcW w:w="1420" w:type="dxa"/>
            <w:shd w:val="clear" w:color="auto" w:fill="auto"/>
            <w:noWrap w:val="0"/>
            <w:vAlign w:val="center"/>
          </w:tcPr>
          <w:p w14:paraId="75D9A766">
            <w:pPr>
              <w:widowControl/>
              <w:spacing w:line="240" w:lineRule="auto"/>
              <w:ind w:left="0" w:leftChars="0" w:firstLine="0" w:firstLineChars="0"/>
              <w:jc w:val="lef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lang w:bidi="ar"/>
              </w:rPr>
              <w:t>其中：一般公共预算收入</w:t>
            </w:r>
            <w:r>
              <w:rPr>
                <w:rFonts w:hint="default" w:ascii="Times New Roman" w:hAnsi="Times New Roman" w:cs="Times New Roman"/>
                <w:color w:val="auto"/>
                <w:sz w:val="21"/>
                <w:szCs w:val="21"/>
                <w:highlight w:val="none"/>
              </w:rPr>
              <w:t xml:space="preserve"> </w:t>
            </w:r>
          </w:p>
        </w:tc>
        <w:tc>
          <w:tcPr>
            <w:tcW w:w="1155" w:type="dxa"/>
            <w:shd w:val="clear" w:color="auto" w:fill="auto"/>
            <w:noWrap w:val="0"/>
            <w:vAlign w:val="center"/>
          </w:tcPr>
          <w:p w14:paraId="04895511">
            <w:pPr>
              <w:widowControl/>
              <w:spacing w:line="240" w:lineRule="auto"/>
              <w:ind w:left="0" w:leftChars="0" w:firstLine="0" w:firstLineChars="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1,880.83</w:t>
            </w:r>
          </w:p>
        </w:tc>
        <w:tc>
          <w:tcPr>
            <w:tcW w:w="1245" w:type="dxa"/>
            <w:shd w:val="clear" w:color="auto" w:fill="auto"/>
            <w:noWrap w:val="0"/>
            <w:vAlign w:val="center"/>
          </w:tcPr>
          <w:p w14:paraId="7994B47A">
            <w:pPr>
              <w:widowControl/>
              <w:spacing w:line="240" w:lineRule="auto"/>
              <w:ind w:left="0" w:leftChars="0" w:firstLine="0" w:firstLineChars="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2,588.32</w:t>
            </w:r>
          </w:p>
        </w:tc>
        <w:tc>
          <w:tcPr>
            <w:tcW w:w="1065" w:type="dxa"/>
            <w:shd w:val="clear" w:color="auto" w:fill="auto"/>
            <w:noWrap w:val="0"/>
            <w:vAlign w:val="center"/>
          </w:tcPr>
          <w:p w14:paraId="3FAA0B05">
            <w:pPr>
              <w:widowControl/>
              <w:spacing w:line="240" w:lineRule="auto"/>
              <w:ind w:left="0" w:leftChars="0" w:firstLine="0" w:firstLineChars="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2,588.32</w:t>
            </w:r>
          </w:p>
        </w:tc>
        <w:tc>
          <w:tcPr>
            <w:tcW w:w="1620" w:type="dxa"/>
            <w:shd w:val="clear" w:color="auto" w:fill="auto"/>
            <w:noWrap w:val="0"/>
            <w:vAlign w:val="center"/>
          </w:tcPr>
          <w:p w14:paraId="1F1B299E">
            <w:pPr>
              <w:widowControl/>
              <w:spacing w:line="240" w:lineRule="auto"/>
              <w:ind w:left="0" w:leftChars="0" w:firstLine="0" w:firstLineChars="0"/>
              <w:jc w:val="lef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lang w:bidi="ar"/>
              </w:rPr>
              <w:t>其中：人员经费</w:t>
            </w:r>
          </w:p>
        </w:tc>
        <w:tc>
          <w:tcPr>
            <w:tcW w:w="1185" w:type="dxa"/>
            <w:shd w:val="clear" w:color="auto" w:fill="auto"/>
            <w:noWrap w:val="0"/>
            <w:vAlign w:val="center"/>
          </w:tcPr>
          <w:p w14:paraId="3F101882">
            <w:pPr>
              <w:widowControl/>
              <w:spacing w:line="240" w:lineRule="auto"/>
              <w:ind w:left="0" w:leftChars="0" w:firstLine="0" w:firstLineChars="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1,728.19</w:t>
            </w:r>
          </w:p>
        </w:tc>
        <w:tc>
          <w:tcPr>
            <w:tcW w:w="1110" w:type="dxa"/>
            <w:shd w:val="clear" w:color="auto" w:fill="auto"/>
            <w:noWrap w:val="0"/>
            <w:vAlign w:val="center"/>
          </w:tcPr>
          <w:p w14:paraId="3169F951">
            <w:pPr>
              <w:widowControl/>
              <w:spacing w:line="240" w:lineRule="auto"/>
              <w:ind w:left="0" w:leftChars="0" w:firstLine="0" w:firstLineChars="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2,235.25</w:t>
            </w:r>
          </w:p>
        </w:tc>
        <w:tc>
          <w:tcPr>
            <w:tcW w:w="1019" w:type="dxa"/>
            <w:shd w:val="clear" w:color="auto" w:fill="auto"/>
            <w:noWrap w:val="0"/>
            <w:vAlign w:val="center"/>
          </w:tcPr>
          <w:p w14:paraId="19FB3870">
            <w:pPr>
              <w:widowControl/>
              <w:spacing w:line="240" w:lineRule="auto"/>
              <w:ind w:left="0" w:leftChars="0" w:firstLine="0" w:firstLineChars="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2,235.25</w:t>
            </w:r>
          </w:p>
        </w:tc>
      </w:tr>
      <w:tr w14:paraId="15CE2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04" w:hRule="atLeast"/>
        </w:trPr>
        <w:tc>
          <w:tcPr>
            <w:tcW w:w="1420" w:type="dxa"/>
            <w:shd w:val="clear" w:color="auto" w:fill="auto"/>
            <w:noWrap w:val="0"/>
            <w:vAlign w:val="center"/>
          </w:tcPr>
          <w:p w14:paraId="04F622E9">
            <w:pPr>
              <w:widowControl/>
              <w:spacing w:line="240" w:lineRule="auto"/>
              <w:ind w:left="0" w:leftChars="0" w:firstLine="0" w:firstLineChars="0"/>
              <w:jc w:val="left"/>
              <w:textAlignment w:val="center"/>
              <w:rPr>
                <w:rFonts w:hint="default" w:ascii="Times New Roman" w:hAnsi="Times New Roman" w:cs="Times New Roman"/>
                <w:color w:val="auto"/>
                <w:kern w:val="0"/>
                <w:sz w:val="21"/>
                <w:szCs w:val="21"/>
                <w:highlight w:val="none"/>
                <w:lang w:bidi="ar"/>
              </w:rPr>
            </w:pPr>
            <w:r>
              <w:rPr>
                <w:rFonts w:hint="default" w:ascii="Times New Roman" w:hAnsi="Times New Roman" w:cs="Times New Roman"/>
                <w:color w:val="auto"/>
                <w:kern w:val="0"/>
                <w:sz w:val="21"/>
                <w:szCs w:val="21"/>
                <w:highlight w:val="none"/>
                <w:lang w:bidi="ar"/>
              </w:rPr>
              <w:t>政府性基金预算收入</w:t>
            </w:r>
          </w:p>
        </w:tc>
        <w:tc>
          <w:tcPr>
            <w:tcW w:w="1155" w:type="dxa"/>
            <w:shd w:val="clear" w:color="auto" w:fill="auto"/>
            <w:noWrap w:val="0"/>
            <w:vAlign w:val="center"/>
          </w:tcPr>
          <w:p w14:paraId="75A83B91">
            <w:pPr>
              <w:widowControl/>
              <w:spacing w:line="240" w:lineRule="auto"/>
              <w:ind w:left="0" w:leftChars="0" w:firstLine="0" w:firstLineChars="0"/>
              <w:jc w:val="right"/>
              <w:textAlignment w:val="center"/>
              <w:rPr>
                <w:rFonts w:hint="default" w:ascii="Times New Roman" w:hAnsi="Times New Roman" w:cs="Times New Roman"/>
                <w:color w:val="auto"/>
                <w:kern w:val="0"/>
                <w:sz w:val="21"/>
                <w:szCs w:val="21"/>
                <w:highlight w:val="none"/>
                <w:lang w:bidi="ar"/>
              </w:rPr>
            </w:pPr>
            <w:r>
              <w:rPr>
                <w:rFonts w:hint="default" w:ascii="Times New Roman" w:hAnsi="Times New Roman" w:cs="Times New Roman"/>
                <w:color w:val="auto"/>
                <w:kern w:val="0"/>
                <w:sz w:val="21"/>
                <w:szCs w:val="21"/>
                <w:highlight w:val="none"/>
                <w:lang w:bidi="ar"/>
              </w:rPr>
              <w:t>0.00</w:t>
            </w:r>
          </w:p>
        </w:tc>
        <w:tc>
          <w:tcPr>
            <w:tcW w:w="1245" w:type="dxa"/>
            <w:shd w:val="clear" w:color="auto" w:fill="auto"/>
            <w:noWrap w:val="0"/>
            <w:vAlign w:val="center"/>
          </w:tcPr>
          <w:p w14:paraId="7A055422">
            <w:pPr>
              <w:widowControl/>
              <w:spacing w:line="240" w:lineRule="auto"/>
              <w:ind w:left="0" w:leftChars="0" w:firstLine="0" w:firstLineChars="0"/>
              <w:jc w:val="right"/>
              <w:textAlignment w:val="center"/>
              <w:rPr>
                <w:rFonts w:hint="default" w:ascii="Times New Roman" w:hAnsi="Times New Roman" w:cs="Times New Roman"/>
                <w:color w:val="auto"/>
                <w:kern w:val="0"/>
                <w:sz w:val="21"/>
                <w:szCs w:val="21"/>
                <w:highlight w:val="none"/>
                <w:lang w:bidi="ar"/>
              </w:rPr>
            </w:pPr>
            <w:r>
              <w:rPr>
                <w:rFonts w:hint="default" w:ascii="Times New Roman" w:hAnsi="Times New Roman" w:cs="Times New Roman"/>
                <w:color w:val="auto"/>
                <w:kern w:val="0"/>
                <w:sz w:val="21"/>
                <w:szCs w:val="21"/>
                <w:highlight w:val="none"/>
                <w:lang w:bidi="ar"/>
              </w:rPr>
              <w:t>0.00</w:t>
            </w:r>
          </w:p>
        </w:tc>
        <w:tc>
          <w:tcPr>
            <w:tcW w:w="1065" w:type="dxa"/>
            <w:shd w:val="clear" w:color="auto" w:fill="auto"/>
            <w:noWrap w:val="0"/>
            <w:vAlign w:val="center"/>
          </w:tcPr>
          <w:p w14:paraId="0397A8EE">
            <w:pPr>
              <w:widowControl/>
              <w:spacing w:line="240" w:lineRule="auto"/>
              <w:ind w:left="0" w:leftChars="0" w:firstLine="0" w:firstLineChars="0"/>
              <w:jc w:val="right"/>
              <w:textAlignment w:val="center"/>
              <w:rPr>
                <w:rFonts w:hint="default" w:ascii="Times New Roman" w:hAnsi="Times New Roman" w:cs="Times New Roman"/>
                <w:color w:val="auto"/>
                <w:kern w:val="0"/>
                <w:sz w:val="21"/>
                <w:szCs w:val="21"/>
                <w:highlight w:val="none"/>
                <w:lang w:bidi="ar"/>
              </w:rPr>
            </w:pPr>
            <w:r>
              <w:rPr>
                <w:rFonts w:hint="default" w:ascii="Times New Roman" w:hAnsi="Times New Roman" w:cs="Times New Roman"/>
                <w:color w:val="auto"/>
                <w:kern w:val="0"/>
                <w:sz w:val="21"/>
                <w:szCs w:val="21"/>
                <w:highlight w:val="none"/>
                <w:lang w:bidi="ar"/>
              </w:rPr>
              <w:t>0.00</w:t>
            </w:r>
          </w:p>
        </w:tc>
        <w:tc>
          <w:tcPr>
            <w:tcW w:w="1620" w:type="dxa"/>
            <w:shd w:val="clear" w:color="auto" w:fill="auto"/>
            <w:noWrap w:val="0"/>
            <w:vAlign w:val="center"/>
          </w:tcPr>
          <w:p w14:paraId="2AE9CA59">
            <w:pPr>
              <w:widowControl/>
              <w:spacing w:line="240" w:lineRule="auto"/>
              <w:ind w:left="0" w:leftChars="0" w:firstLine="0" w:firstLineChars="0"/>
              <w:jc w:val="left"/>
              <w:textAlignment w:val="center"/>
              <w:rPr>
                <w:rFonts w:hint="default" w:ascii="Times New Roman" w:hAnsi="Times New Roman" w:cs="Times New Roman"/>
                <w:color w:val="auto"/>
                <w:kern w:val="0"/>
                <w:sz w:val="21"/>
                <w:szCs w:val="21"/>
                <w:highlight w:val="none"/>
                <w:lang w:bidi="ar"/>
              </w:rPr>
            </w:pPr>
            <w:r>
              <w:rPr>
                <w:rFonts w:hint="default" w:ascii="Times New Roman" w:hAnsi="Times New Roman" w:cs="Times New Roman"/>
                <w:color w:val="auto"/>
                <w:kern w:val="0"/>
                <w:sz w:val="21"/>
                <w:szCs w:val="21"/>
                <w:highlight w:val="none"/>
                <w:lang w:bidi="ar"/>
              </w:rPr>
              <w:t>日常公用经费</w:t>
            </w:r>
          </w:p>
        </w:tc>
        <w:tc>
          <w:tcPr>
            <w:tcW w:w="1185" w:type="dxa"/>
            <w:shd w:val="clear" w:color="auto" w:fill="auto"/>
            <w:noWrap w:val="0"/>
            <w:vAlign w:val="center"/>
          </w:tcPr>
          <w:p w14:paraId="55711AC7">
            <w:pPr>
              <w:widowControl/>
              <w:spacing w:line="240" w:lineRule="auto"/>
              <w:ind w:left="0" w:leftChars="0" w:firstLine="0" w:firstLineChars="0"/>
              <w:jc w:val="right"/>
              <w:textAlignment w:val="center"/>
              <w:rPr>
                <w:rFonts w:hint="default" w:ascii="Times New Roman" w:hAnsi="Times New Roman" w:cs="Times New Roman"/>
                <w:color w:val="auto"/>
                <w:kern w:val="0"/>
                <w:sz w:val="21"/>
                <w:szCs w:val="21"/>
                <w:highlight w:val="none"/>
                <w:lang w:bidi="ar"/>
              </w:rPr>
            </w:pPr>
            <w:r>
              <w:rPr>
                <w:rFonts w:hint="default" w:ascii="Times New Roman" w:hAnsi="Times New Roman" w:cs="Times New Roman"/>
                <w:color w:val="auto"/>
                <w:kern w:val="0"/>
                <w:sz w:val="21"/>
                <w:szCs w:val="21"/>
                <w:highlight w:val="none"/>
                <w:lang w:bidi="ar"/>
              </w:rPr>
              <w:t>64.32</w:t>
            </w:r>
          </w:p>
        </w:tc>
        <w:tc>
          <w:tcPr>
            <w:tcW w:w="1110" w:type="dxa"/>
            <w:shd w:val="clear" w:color="auto" w:fill="auto"/>
            <w:noWrap w:val="0"/>
            <w:vAlign w:val="center"/>
          </w:tcPr>
          <w:p w14:paraId="194C94DD">
            <w:pPr>
              <w:widowControl/>
              <w:spacing w:line="240" w:lineRule="auto"/>
              <w:ind w:left="0" w:leftChars="0" w:firstLine="0" w:firstLineChars="0"/>
              <w:jc w:val="right"/>
              <w:textAlignment w:val="center"/>
              <w:rPr>
                <w:rFonts w:hint="default" w:ascii="Times New Roman" w:hAnsi="Times New Roman" w:cs="Times New Roman"/>
                <w:color w:val="auto"/>
                <w:kern w:val="0"/>
                <w:sz w:val="21"/>
                <w:szCs w:val="21"/>
                <w:highlight w:val="none"/>
                <w:lang w:bidi="ar"/>
              </w:rPr>
            </w:pPr>
            <w:r>
              <w:rPr>
                <w:rFonts w:hint="default" w:ascii="Times New Roman" w:hAnsi="Times New Roman" w:cs="Times New Roman"/>
                <w:color w:val="auto"/>
                <w:kern w:val="0"/>
                <w:sz w:val="21"/>
                <w:szCs w:val="21"/>
                <w:highlight w:val="none"/>
                <w:lang w:bidi="ar"/>
              </w:rPr>
              <w:t>94.91</w:t>
            </w:r>
          </w:p>
        </w:tc>
        <w:tc>
          <w:tcPr>
            <w:tcW w:w="1019" w:type="dxa"/>
            <w:shd w:val="clear" w:color="auto" w:fill="auto"/>
            <w:noWrap w:val="0"/>
            <w:vAlign w:val="center"/>
          </w:tcPr>
          <w:p w14:paraId="3C5BBC54">
            <w:pPr>
              <w:widowControl/>
              <w:spacing w:line="240" w:lineRule="auto"/>
              <w:ind w:left="0" w:leftChars="0" w:firstLine="0" w:firstLineChars="0"/>
              <w:jc w:val="right"/>
              <w:textAlignment w:val="center"/>
              <w:rPr>
                <w:rFonts w:hint="default" w:ascii="Times New Roman" w:hAnsi="Times New Roman" w:cs="Times New Roman"/>
                <w:color w:val="auto"/>
                <w:kern w:val="0"/>
                <w:sz w:val="21"/>
                <w:szCs w:val="21"/>
                <w:highlight w:val="none"/>
                <w:lang w:bidi="ar"/>
              </w:rPr>
            </w:pPr>
            <w:r>
              <w:rPr>
                <w:rFonts w:hint="default" w:ascii="Times New Roman" w:hAnsi="Times New Roman" w:cs="Times New Roman"/>
                <w:color w:val="auto"/>
                <w:kern w:val="0"/>
                <w:sz w:val="21"/>
                <w:szCs w:val="21"/>
                <w:highlight w:val="none"/>
                <w:lang w:bidi="ar"/>
              </w:rPr>
              <w:t>94.91</w:t>
            </w:r>
          </w:p>
        </w:tc>
      </w:tr>
      <w:tr w14:paraId="19590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40" w:hRule="atLeast"/>
        </w:trPr>
        <w:tc>
          <w:tcPr>
            <w:tcW w:w="1420" w:type="dxa"/>
            <w:shd w:val="clear" w:color="auto" w:fill="auto"/>
            <w:noWrap w:val="0"/>
            <w:vAlign w:val="center"/>
          </w:tcPr>
          <w:p w14:paraId="2102A83A">
            <w:pPr>
              <w:widowControl/>
              <w:spacing w:line="240" w:lineRule="auto"/>
              <w:ind w:left="0" w:leftChars="0" w:firstLine="0" w:firstLineChars="0"/>
              <w:jc w:val="lef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国有资本经营预算收入</w:t>
            </w:r>
          </w:p>
        </w:tc>
        <w:tc>
          <w:tcPr>
            <w:tcW w:w="1155" w:type="dxa"/>
            <w:shd w:val="clear" w:color="auto" w:fill="auto"/>
            <w:noWrap w:val="0"/>
            <w:vAlign w:val="center"/>
          </w:tcPr>
          <w:p w14:paraId="25C46F06">
            <w:pPr>
              <w:widowControl/>
              <w:spacing w:line="240" w:lineRule="auto"/>
              <w:ind w:left="0" w:leftChars="0" w:firstLine="0" w:firstLineChars="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lang w:bidi="ar"/>
              </w:rPr>
              <w:t>0.00</w:t>
            </w:r>
          </w:p>
        </w:tc>
        <w:tc>
          <w:tcPr>
            <w:tcW w:w="1245" w:type="dxa"/>
            <w:shd w:val="clear" w:color="auto" w:fill="auto"/>
            <w:noWrap w:val="0"/>
            <w:vAlign w:val="center"/>
          </w:tcPr>
          <w:p w14:paraId="570FE5A0">
            <w:pPr>
              <w:widowControl/>
              <w:spacing w:line="240" w:lineRule="auto"/>
              <w:ind w:left="0" w:leftChars="0" w:firstLine="0" w:firstLineChars="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6.66</w:t>
            </w:r>
          </w:p>
        </w:tc>
        <w:tc>
          <w:tcPr>
            <w:tcW w:w="1065" w:type="dxa"/>
            <w:shd w:val="clear" w:color="auto" w:fill="auto"/>
            <w:noWrap w:val="0"/>
            <w:vAlign w:val="center"/>
          </w:tcPr>
          <w:p w14:paraId="67138A8C">
            <w:pPr>
              <w:widowControl/>
              <w:spacing w:line="240" w:lineRule="auto"/>
              <w:ind w:left="0" w:leftChars="0" w:firstLine="0" w:firstLineChars="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6.66</w:t>
            </w:r>
          </w:p>
        </w:tc>
        <w:tc>
          <w:tcPr>
            <w:tcW w:w="1620" w:type="dxa"/>
            <w:shd w:val="clear" w:color="auto" w:fill="auto"/>
            <w:noWrap w:val="0"/>
            <w:vAlign w:val="center"/>
          </w:tcPr>
          <w:p w14:paraId="54C610F2">
            <w:pPr>
              <w:widowControl/>
              <w:spacing w:line="240" w:lineRule="auto"/>
              <w:ind w:left="0" w:leftChars="0" w:firstLine="0" w:firstLineChars="0"/>
              <w:jc w:val="lef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lang w:bidi="ar"/>
              </w:rPr>
              <w:t>二、项目支出</w:t>
            </w:r>
          </w:p>
        </w:tc>
        <w:tc>
          <w:tcPr>
            <w:tcW w:w="1185" w:type="dxa"/>
            <w:shd w:val="clear" w:color="auto" w:fill="auto"/>
            <w:noWrap w:val="0"/>
            <w:vAlign w:val="center"/>
          </w:tcPr>
          <w:p w14:paraId="50E98B7A">
            <w:pPr>
              <w:widowControl/>
              <w:spacing w:line="240" w:lineRule="auto"/>
              <w:ind w:left="0" w:leftChars="0" w:firstLine="0" w:firstLineChars="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88.32</w:t>
            </w:r>
          </w:p>
        </w:tc>
        <w:tc>
          <w:tcPr>
            <w:tcW w:w="1110" w:type="dxa"/>
            <w:shd w:val="clear" w:color="auto" w:fill="auto"/>
            <w:noWrap w:val="0"/>
            <w:vAlign w:val="center"/>
          </w:tcPr>
          <w:p w14:paraId="619553A8">
            <w:pPr>
              <w:widowControl/>
              <w:spacing w:line="240" w:lineRule="auto"/>
              <w:ind w:left="0" w:leftChars="0" w:firstLine="0" w:firstLineChars="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264.82</w:t>
            </w:r>
          </w:p>
        </w:tc>
        <w:tc>
          <w:tcPr>
            <w:tcW w:w="1019" w:type="dxa"/>
            <w:shd w:val="clear" w:color="auto" w:fill="auto"/>
            <w:noWrap w:val="0"/>
            <w:vAlign w:val="center"/>
          </w:tcPr>
          <w:p w14:paraId="16EB73F3">
            <w:pPr>
              <w:widowControl/>
              <w:spacing w:line="240" w:lineRule="auto"/>
              <w:ind w:left="0" w:leftChars="0" w:firstLine="0" w:firstLineChars="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264.82</w:t>
            </w:r>
          </w:p>
        </w:tc>
      </w:tr>
      <w:tr w14:paraId="6B479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75" w:hRule="atLeast"/>
        </w:trPr>
        <w:tc>
          <w:tcPr>
            <w:tcW w:w="1420" w:type="dxa"/>
            <w:shd w:val="clear" w:color="auto" w:fill="auto"/>
            <w:noWrap w:val="0"/>
            <w:vAlign w:val="center"/>
          </w:tcPr>
          <w:p w14:paraId="05CA27E1">
            <w:pPr>
              <w:widowControl/>
              <w:spacing w:line="240" w:lineRule="auto"/>
              <w:ind w:left="0" w:leftChars="0" w:firstLine="0" w:firstLineChars="0"/>
              <w:jc w:val="lef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lang w:bidi="ar"/>
              </w:rPr>
              <w:t>二、事业收入</w:t>
            </w:r>
          </w:p>
        </w:tc>
        <w:tc>
          <w:tcPr>
            <w:tcW w:w="1155" w:type="dxa"/>
            <w:shd w:val="clear" w:color="auto" w:fill="auto"/>
            <w:noWrap w:val="0"/>
            <w:vAlign w:val="center"/>
          </w:tcPr>
          <w:p w14:paraId="07C9B64B">
            <w:pPr>
              <w:widowControl/>
              <w:spacing w:line="240" w:lineRule="auto"/>
              <w:ind w:left="0" w:leftChars="0" w:firstLine="420" w:firstLineChars="20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lang w:bidi="ar"/>
              </w:rPr>
              <w:t>0.00</w:t>
            </w:r>
          </w:p>
        </w:tc>
        <w:tc>
          <w:tcPr>
            <w:tcW w:w="1245" w:type="dxa"/>
            <w:shd w:val="clear" w:color="auto" w:fill="auto"/>
            <w:noWrap w:val="0"/>
            <w:vAlign w:val="center"/>
          </w:tcPr>
          <w:p w14:paraId="55BB33B2">
            <w:pPr>
              <w:widowControl/>
              <w:spacing w:line="240" w:lineRule="auto"/>
              <w:ind w:left="0" w:leftChars="0" w:firstLine="420" w:firstLineChars="20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lang w:bidi="ar"/>
              </w:rPr>
              <w:t>0.00</w:t>
            </w:r>
          </w:p>
        </w:tc>
        <w:tc>
          <w:tcPr>
            <w:tcW w:w="1065" w:type="dxa"/>
            <w:shd w:val="clear" w:color="auto" w:fill="auto"/>
            <w:noWrap w:val="0"/>
            <w:vAlign w:val="center"/>
          </w:tcPr>
          <w:p w14:paraId="0CC6CA86">
            <w:pPr>
              <w:widowControl/>
              <w:spacing w:line="240" w:lineRule="auto"/>
              <w:ind w:left="0" w:leftChars="0" w:firstLine="420" w:firstLineChars="20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lang w:bidi="ar"/>
              </w:rPr>
              <w:t>0.00</w:t>
            </w:r>
          </w:p>
        </w:tc>
        <w:tc>
          <w:tcPr>
            <w:tcW w:w="1620" w:type="dxa"/>
            <w:shd w:val="clear" w:color="auto" w:fill="auto"/>
            <w:noWrap w:val="0"/>
            <w:vAlign w:val="center"/>
          </w:tcPr>
          <w:p w14:paraId="77AC7A51">
            <w:pPr>
              <w:widowControl/>
              <w:spacing w:line="240" w:lineRule="auto"/>
              <w:ind w:left="0" w:leftChars="0" w:firstLine="0" w:firstLineChars="0"/>
              <w:jc w:val="lef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三、其他支出</w:t>
            </w:r>
          </w:p>
        </w:tc>
        <w:tc>
          <w:tcPr>
            <w:tcW w:w="1185" w:type="dxa"/>
            <w:shd w:val="clear" w:color="auto" w:fill="auto"/>
            <w:noWrap w:val="0"/>
            <w:vAlign w:val="center"/>
          </w:tcPr>
          <w:p w14:paraId="73A7EAAD">
            <w:pPr>
              <w:widowControl/>
              <w:spacing w:line="240" w:lineRule="auto"/>
              <w:ind w:left="0" w:leftChars="0" w:firstLine="0" w:firstLineChars="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lang w:bidi="ar"/>
              </w:rPr>
              <w:t>0.00</w:t>
            </w:r>
          </w:p>
        </w:tc>
        <w:tc>
          <w:tcPr>
            <w:tcW w:w="1110" w:type="dxa"/>
            <w:shd w:val="clear" w:color="auto" w:fill="auto"/>
            <w:noWrap w:val="0"/>
            <w:vAlign w:val="center"/>
          </w:tcPr>
          <w:p w14:paraId="4A2CAF40">
            <w:pPr>
              <w:widowControl/>
              <w:spacing w:line="240" w:lineRule="auto"/>
              <w:ind w:left="0" w:leftChars="0" w:firstLine="0" w:firstLineChars="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lang w:bidi="ar"/>
              </w:rPr>
              <w:t>0.00</w:t>
            </w:r>
          </w:p>
        </w:tc>
        <w:tc>
          <w:tcPr>
            <w:tcW w:w="1019" w:type="dxa"/>
            <w:shd w:val="clear" w:color="auto" w:fill="auto"/>
            <w:noWrap w:val="0"/>
            <w:vAlign w:val="center"/>
          </w:tcPr>
          <w:p w14:paraId="25354CBF">
            <w:pPr>
              <w:widowControl/>
              <w:spacing w:line="240" w:lineRule="auto"/>
              <w:ind w:left="0" w:leftChars="0" w:firstLine="0" w:firstLineChars="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lang w:bidi="ar"/>
              </w:rPr>
              <w:t>0.00</w:t>
            </w:r>
          </w:p>
        </w:tc>
      </w:tr>
      <w:tr w14:paraId="2CAF5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75" w:hRule="atLeast"/>
        </w:trPr>
        <w:tc>
          <w:tcPr>
            <w:tcW w:w="1420" w:type="dxa"/>
            <w:shd w:val="clear" w:color="auto" w:fill="auto"/>
            <w:noWrap w:val="0"/>
            <w:vAlign w:val="center"/>
          </w:tcPr>
          <w:p w14:paraId="77E4F250">
            <w:pPr>
              <w:widowControl/>
              <w:spacing w:line="240" w:lineRule="auto"/>
              <w:ind w:left="0" w:leftChars="0" w:firstLine="0" w:firstLineChars="0"/>
              <w:jc w:val="left"/>
              <w:textAlignment w:val="center"/>
              <w:rPr>
                <w:rFonts w:hint="default" w:ascii="Times New Roman" w:hAnsi="Times New Roman" w:cs="Times New Roman"/>
                <w:color w:val="auto"/>
                <w:kern w:val="0"/>
                <w:sz w:val="21"/>
                <w:szCs w:val="21"/>
                <w:highlight w:val="none"/>
                <w:lang w:bidi="ar"/>
              </w:rPr>
            </w:pPr>
            <w:r>
              <w:rPr>
                <w:rFonts w:hint="default" w:ascii="Times New Roman" w:hAnsi="Times New Roman" w:cs="Times New Roman"/>
                <w:color w:val="auto"/>
                <w:kern w:val="0"/>
                <w:sz w:val="21"/>
                <w:szCs w:val="21"/>
                <w:highlight w:val="none"/>
                <w:lang w:bidi="ar"/>
              </w:rPr>
              <w:t>三、其他收入</w:t>
            </w:r>
          </w:p>
        </w:tc>
        <w:tc>
          <w:tcPr>
            <w:tcW w:w="1155" w:type="dxa"/>
            <w:shd w:val="clear" w:color="auto" w:fill="auto"/>
            <w:noWrap w:val="0"/>
            <w:vAlign w:val="center"/>
          </w:tcPr>
          <w:p w14:paraId="13E836F3">
            <w:pPr>
              <w:widowControl/>
              <w:spacing w:line="240" w:lineRule="auto"/>
              <w:ind w:left="0" w:leftChars="0" w:firstLine="420" w:firstLineChars="20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lang w:bidi="ar"/>
              </w:rPr>
              <w:t>0.00</w:t>
            </w:r>
          </w:p>
        </w:tc>
        <w:tc>
          <w:tcPr>
            <w:tcW w:w="1245" w:type="dxa"/>
            <w:shd w:val="clear" w:color="auto" w:fill="auto"/>
            <w:noWrap w:val="0"/>
            <w:vAlign w:val="center"/>
          </w:tcPr>
          <w:p w14:paraId="39D9A3F8">
            <w:pPr>
              <w:widowControl/>
              <w:spacing w:line="240" w:lineRule="auto"/>
              <w:ind w:left="0" w:leftChars="0" w:firstLine="420" w:firstLineChars="20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lang w:bidi="ar"/>
              </w:rPr>
              <w:t>0.00</w:t>
            </w:r>
          </w:p>
        </w:tc>
        <w:tc>
          <w:tcPr>
            <w:tcW w:w="1065" w:type="dxa"/>
            <w:shd w:val="clear" w:color="auto" w:fill="auto"/>
            <w:noWrap w:val="0"/>
            <w:vAlign w:val="center"/>
          </w:tcPr>
          <w:p w14:paraId="638EF27F">
            <w:pPr>
              <w:widowControl/>
              <w:spacing w:line="240" w:lineRule="auto"/>
              <w:ind w:left="0" w:leftChars="0" w:firstLine="420" w:firstLineChars="20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lang w:bidi="ar"/>
              </w:rPr>
              <w:t>0.00</w:t>
            </w:r>
          </w:p>
        </w:tc>
        <w:tc>
          <w:tcPr>
            <w:tcW w:w="1620" w:type="dxa"/>
            <w:shd w:val="clear" w:color="auto" w:fill="auto"/>
            <w:noWrap w:val="0"/>
            <w:vAlign w:val="center"/>
          </w:tcPr>
          <w:p w14:paraId="4783917C">
            <w:pPr>
              <w:widowControl/>
              <w:spacing w:line="240" w:lineRule="auto"/>
              <w:ind w:left="0" w:leftChars="0" w:firstLine="0" w:firstLineChars="0"/>
              <w:jc w:val="left"/>
              <w:textAlignment w:val="center"/>
              <w:rPr>
                <w:rFonts w:hint="default" w:ascii="Times New Roman" w:hAnsi="Times New Roman" w:cs="Times New Roman"/>
                <w:color w:val="auto"/>
                <w:sz w:val="21"/>
                <w:szCs w:val="21"/>
                <w:highlight w:val="none"/>
              </w:rPr>
            </w:pPr>
          </w:p>
        </w:tc>
        <w:tc>
          <w:tcPr>
            <w:tcW w:w="1185" w:type="dxa"/>
            <w:shd w:val="clear" w:color="auto" w:fill="auto"/>
            <w:noWrap w:val="0"/>
            <w:vAlign w:val="center"/>
          </w:tcPr>
          <w:p w14:paraId="31A0FD41">
            <w:pPr>
              <w:widowControl/>
              <w:spacing w:line="240" w:lineRule="auto"/>
              <w:ind w:left="0" w:leftChars="0" w:firstLine="0" w:firstLineChars="0"/>
              <w:jc w:val="right"/>
              <w:textAlignment w:val="center"/>
              <w:rPr>
                <w:rFonts w:hint="default" w:ascii="Times New Roman" w:hAnsi="Times New Roman" w:cs="Times New Roman"/>
                <w:color w:val="auto"/>
                <w:sz w:val="21"/>
                <w:szCs w:val="21"/>
                <w:highlight w:val="none"/>
              </w:rPr>
            </w:pPr>
          </w:p>
        </w:tc>
        <w:tc>
          <w:tcPr>
            <w:tcW w:w="1110" w:type="dxa"/>
            <w:shd w:val="clear" w:color="auto" w:fill="auto"/>
            <w:noWrap w:val="0"/>
            <w:vAlign w:val="center"/>
          </w:tcPr>
          <w:p w14:paraId="558BDE95">
            <w:pPr>
              <w:widowControl/>
              <w:spacing w:line="240" w:lineRule="auto"/>
              <w:ind w:left="0" w:leftChars="0" w:firstLine="0" w:firstLineChars="0"/>
              <w:jc w:val="right"/>
              <w:textAlignment w:val="center"/>
              <w:rPr>
                <w:rFonts w:hint="default" w:ascii="Times New Roman" w:hAnsi="Times New Roman" w:cs="Times New Roman"/>
                <w:color w:val="auto"/>
                <w:sz w:val="21"/>
                <w:szCs w:val="21"/>
                <w:highlight w:val="none"/>
              </w:rPr>
            </w:pPr>
          </w:p>
        </w:tc>
        <w:tc>
          <w:tcPr>
            <w:tcW w:w="1019" w:type="dxa"/>
            <w:shd w:val="clear" w:color="auto" w:fill="auto"/>
            <w:noWrap w:val="0"/>
            <w:vAlign w:val="center"/>
          </w:tcPr>
          <w:p w14:paraId="5C571134">
            <w:pPr>
              <w:widowControl/>
              <w:spacing w:line="240" w:lineRule="auto"/>
              <w:ind w:left="0" w:leftChars="0" w:firstLine="0" w:firstLineChars="0"/>
              <w:jc w:val="right"/>
              <w:textAlignment w:val="center"/>
              <w:rPr>
                <w:rFonts w:hint="default" w:ascii="Times New Roman" w:hAnsi="Times New Roman" w:cs="Times New Roman"/>
                <w:color w:val="auto"/>
                <w:sz w:val="21"/>
                <w:szCs w:val="21"/>
                <w:highlight w:val="none"/>
              </w:rPr>
            </w:pPr>
          </w:p>
        </w:tc>
      </w:tr>
      <w:tr w14:paraId="2962A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40" w:hRule="atLeast"/>
        </w:trPr>
        <w:tc>
          <w:tcPr>
            <w:tcW w:w="1420" w:type="dxa"/>
            <w:shd w:val="clear" w:color="auto" w:fill="auto"/>
            <w:noWrap w:val="0"/>
            <w:vAlign w:val="center"/>
          </w:tcPr>
          <w:p w14:paraId="342A5DC6">
            <w:pPr>
              <w:widowControl/>
              <w:spacing w:line="240" w:lineRule="auto"/>
              <w:ind w:left="0" w:leftChars="0" w:firstLine="0" w:firstLineChars="0"/>
              <w:jc w:val="center"/>
              <w:textAlignment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kern w:val="0"/>
                <w:sz w:val="21"/>
                <w:szCs w:val="21"/>
                <w:highlight w:val="none"/>
                <w:lang w:bidi="ar"/>
              </w:rPr>
              <w:t>本年收入合计</w:t>
            </w:r>
          </w:p>
        </w:tc>
        <w:tc>
          <w:tcPr>
            <w:tcW w:w="1155" w:type="dxa"/>
            <w:shd w:val="clear" w:color="auto" w:fill="auto"/>
            <w:noWrap w:val="0"/>
            <w:vAlign w:val="center"/>
          </w:tcPr>
          <w:p w14:paraId="5F77FA55">
            <w:pPr>
              <w:widowControl/>
              <w:spacing w:line="240" w:lineRule="auto"/>
              <w:ind w:left="0" w:leftChars="0" w:firstLine="0" w:firstLineChars="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1,880.83</w:t>
            </w:r>
          </w:p>
        </w:tc>
        <w:tc>
          <w:tcPr>
            <w:tcW w:w="1245" w:type="dxa"/>
            <w:shd w:val="clear" w:color="auto" w:fill="auto"/>
            <w:noWrap w:val="0"/>
            <w:vAlign w:val="center"/>
          </w:tcPr>
          <w:p w14:paraId="6CAC7198">
            <w:pPr>
              <w:widowControl/>
              <w:spacing w:line="240" w:lineRule="auto"/>
              <w:ind w:left="0" w:leftChars="0" w:firstLine="0" w:firstLineChars="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2,594.98</w:t>
            </w:r>
          </w:p>
        </w:tc>
        <w:tc>
          <w:tcPr>
            <w:tcW w:w="1065" w:type="dxa"/>
            <w:shd w:val="clear" w:color="auto" w:fill="auto"/>
            <w:noWrap w:val="0"/>
            <w:vAlign w:val="center"/>
          </w:tcPr>
          <w:p w14:paraId="2F1F24BD">
            <w:pPr>
              <w:widowControl/>
              <w:spacing w:line="240" w:lineRule="auto"/>
              <w:ind w:left="0" w:leftChars="0" w:firstLine="0" w:firstLineChars="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2,594.98</w:t>
            </w:r>
          </w:p>
        </w:tc>
        <w:tc>
          <w:tcPr>
            <w:tcW w:w="1620" w:type="dxa"/>
            <w:shd w:val="clear" w:color="auto" w:fill="auto"/>
            <w:noWrap w:val="0"/>
            <w:vAlign w:val="center"/>
          </w:tcPr>
          <w:p w14:paraId="7A030EC9">
            <w:pPr>
              <w:widowControl/>
              <w:spacing w:line="240" w:lineRule="auto"/>
              <w:ind w:left="0" w:leftChars="0" w:firstLine="0" w:firstLineChars="0"/>
              <w:jc w:val="center"/>
              <w:textAlignment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kern w:val="0"/>
                <w:sz w:val="21"/>
                <w:szCs w:val="21"/>
                <w:highlight w:val="none"/>
                <w:lang w:bidi="ar"/>
              </w:rPr>
              <w:t>本年支出合计</w:t>
            </w:r>
          </w:p>
        </w:tc>
        <w:tc>
          <w:tcPr>
            <w:tcW w:w="1185" w:type="dxa"/>
            <w:shd w:val="clear" w:color="auto" w:fill="auto"/>
            <w:noWrap w:val="0"/>
            <w:vAlign w:val="center"/>
          </w:tcPr>
          <w:p w14:paraId="7950A67B">
            <w:pPr>
              <w:widowControl/>
              <w:spacing w:line="240" w:lineRule="auto"/>
              <w:ind w:left="0" w:leftChars="0" w:firstLine="0" w:firstLineChars="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1,880.83</w:t>
            </w:r>
          </w:p>
        </w:tc>
        <w:tc>
          <w:tcPr>
            <w:tcW w:w="1110" w:type="dxa"/>
            <w:shd w:val="clear" w:color="auto" w:fill="auto"/>
            <w:noWrap w:val="0"/>
            <w:vAlign w:val="center"/>
          </w:tcPr>
          <w:p w14:paraId="5A37D15C">
            <w:pPr>
              <w:widowControl/>
              <w:spacing w:line="240" w:lineRule="auto"/>
              <w:ind w:left="0" w:leftChars="0" w:firstLine="0" w:firstLineChars="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2,594.98</w:t>
            </w:r>
          </w:p>
        </w:tc>
        <w:tc>
          <w:tcPr>
            <w:tcW w:w="1019" w:type="dxa"/>
            <w:shd w:val="clear" w:color="auto" w:fill="auto"/>
            <w:noWrap w:val="0"/>
            <w:vAlign w:val="center"/>
          </w:tcPr>
          <w:p w14:paraId="215E82A2">
            <w:pPr>
              <w:widowControl/>
              <w:spacing w:line="240" w:lineRule="auto"/>
              <w:ind w:left="0" w:leftChars="0" w:firstLine="0" w:firstLineChars="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2,594.98</w:t>
            </w:r>
          </w:p>
        </w:tc>
      </w:tr>
      <w:tr w14:paraId="60360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51" w:hRule="atLeast"/>
        </w:trPr>
        <w:tc>
          <w:tcPr>
            <w:tcW w:w="1420" w:type="dxa"/>
            <w:shd w:val="clear" w:color="auto" w:fill="auto"/>
            <w:noWrap w:val="0"/>
            <w:vAlign w:val="center"/>
          </w:tcPr>
          <w:p w14:paraId="61693F7A">
            <w:pPr>
              <w:widowControl/>
              <w:spacing w:line="240" w:lineRule="auto"/>
              <w:ind w:left="0" w:leftChars="0" w:firstLine="0" w:firstLineChars="0"/>
              <w:jc w:val="lef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用事业基金弥补收支差额</w:t>
            </w:r>
          </w:p>
        </w:tc>
        <w:tc>
          <w:tcPr>
            <w:tcW w:w="1155" w:type="dxa"/>
            <w:shd w:val="clear" w:color="auto" w:fill="auto"/>
            <w:noWrap w:val="0"/>
            <w:vAlign w:val="center"/>
          </w:tcPr>
          <w:p w14:paraId="794DC4C2">
            <w:pPr>
              <w:widowControl/>
              <w:spacing w:line="240" w:lineRule="auto"/>
              <w:ind w:left="0" w:leftChars="0" w:firstLine="420" w:firstLineChars="20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lang w:bidi="ar"/>
              </w:rPr>
              <w:t>0.00</w:t>
            </w:r>
          </w:p>
        </w:tc>
        <w:tc>
          <w:tcPr>
            <w:tcW w:w="1245" w:type="dxa"/>
            <w:shd w:val="clear" w:color="auto" w:fill="auto"/>
            <w:noWrap w:val="0"/>
            <w:vAlign w:val="center"/>
          </w:tcPr>
          <w:p w14:paraId="09EFF854">
            <w:pPr>
              <w:widowControl/>
              <w:spacing w:line="240" w:lineRule="auto"/>
              <w:ind w:left="0" w:leftChars="0" w:firstLine="420" w:firstLineChars="20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lang w:bidi="ar"/>
              </w:rPr>
              <w:t>0.00</w:t>
            </w:r>
          </w:p>
        </w:tc>
        <w:tc>
          <w:tcPr>
            <w:tcW w:w="1065" w:type="dxa"/>
            <w:shd w:val="clear" w:color="auto" w:fill="auto"/>
            <w:noWrap w:val="0"/>
            <w:vAlign w:val="center"/>
          </w:tcPr>
          <w:p w14:paraId="5D1C060A">
            <w:pPr>
              <w:widowControl/>
              <w:spacing w:line="240" w:lineRule="auto"/>
              <w:ind w:left="0" w:leftChars="0" w:firstLine="420" w:firstLineChars="20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lang w:bidi="ar"/>
              </w:rPr>
              <w:t>0.00</w:t>
            </w:r>
          </w:p>
        </w:tc>
        <w:tc>
          <w:tcPr>
            <w:tcW w:w="1620" w:type="dxa"/>
            <w:shd w:val="clear" w:color="auto" w:fill="auto"/>
            <w:noWrap w:val="0"/>
            <w:vAlign w:val="center"/>
          </w:tcPr>
          <w:p w14:paraId="4A2A5AE1">
            <w:pPr>
              <w:widowControl/>
              <w:spacing w:line="240" w:lineRule="auto"/>
              <w:ind w:left="0" w:leftChars="0" w:firstLine="0" w:firstLineChars="0"/>
              <w:jc w:val="lef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lang w:bidi="ar"/>
              </w:rPr>
              <w:t>结余分配(转入事业基金）</w:t>
            </w:r>
          </w:p>
        </w:tc>
        <w:tc>
          <w:tcPr>
            <w:tcW w:w="1185" w:type="dxa"/>
            <w:shd w:val="clear" w:color="auto" w:fill="auto"/>
            <w:noWrap w:val="0"/>
            <w:vAlign w:val="center"/>
          </w:tcPr>
          <w:p w14:paraId="0ED75A36">
            <w:pPr>
              <w:spacing w:line="240" w:lineRule="auto"/>
              <w:ind w:left="0" w:leftChars="0" w:firstLine="0" w:firstLineChars="0"/>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lang w:bidi="ar"/>
              </w:rPr>
              <w:t>0.00</w:t>
            </w:r>
          </w:p>
        </w:tc>
        <w:tc>
          <w:tcPr>
            <w:tcW w:w="1110" w:type="dxa"/>
            <w:shd w:val="clear" w:color="auto" w:fill="auto"/>
            <w:noWrap w:val="0"/>
            <w:vAlign w:val="center"/>
          </w:tcPr>
          <w:p w14:paraId="6955D9EC">
            <w:pPr>
              <w:spacing w:line="240" w:lineRule="auto"/>
              <w:ind w:left="0" w:leftChars="0" w:firstLine="0" w:firstLineChars="0"/>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lang w:bidi="ar"/>
              </w:rPr>
              <w:t>0.00</w:t>
            </w:r>
          </w:p>
        </w:tc>
        <w:tc>
          <w:tcPr>
            <w:tcW w:w="1019" w:type="dxa"/>
            <w:shd w:val="clear" w:color="auto" w:fill="auto"/>
            <w:noWrap w:val="0"/>
            <w:vAlign w:val="center"/>
          </w:tcPr>
          <w:p w14:paraId="1527919F">
            <w:pPr>
              <w:widowControl/>
              <w:spacing w:line="240" w:lineRule="auto"/>
              <w:ind w:left="0" w:leftChars="0" w:firstLine="0" w:firstLineChars="0"/>
              <w:jc w:val="right"/>
              <w:textAlignment w:val="center"/>
              <w:rPr>
                <w:rFonts w:hint="default" w:ascii="Times New Roman" w:hAnsi="Times New Roman" w:cs="Times New Roman"/>
                <w:color w:val="auto"/>
                <w:kern w:val="0"/>
                <w:sz w:val="21"/>
                <w:szCs w:val="21"/>
                <w:highlight w:val="none"/>
                <w:lang w:bidi="ar"/>
              </w:rPr>
            </w:pPr>
          </w:p>
          <w:p w14:paraId="1FC4CF64">
            <w:pPr>
              <w:widowControl/>
              <w:spacing w:line="240" w:lineRule="auto"/>
              <w:ind w:left="0" w:leftChars="0" w:firstLine="0" w:firstLineChars="0"/>
              <w:jc w:val="right"/>
              <w:textAlignment w:val="center"/>
              <w:rPr>
                <w:rFonts w:hint="default" w:ascii="Times New Roman" w:hAnsi="Times New Roman" w:cs="Times New Roman"/>
                <w:color w:val="auto"/>
                <w:kern w:val="0"/>
                <w:sz w:val="21"/>
                <w:szCs w:val="21"/>
                <w:highlight w:val="none"/>
                <w:lang w:bidi="ar"/>
              </w:rPr>
            </w:pPr>
            <w:r>
              <w:rPr>
                <w:rFonts w:hint="default" w:ascii="Times New Roman" w:hAnsi="Times New Roman" w:cs="Times New Roman"/>
                <w:color w:val="auto"/>
                <w:kern w:val="0"/>
                <w:sz w:val="21"/>
                <w:szCs w:val="21"/>
                <w:highlight w:val="none"/>
                <w:lang w:bidi="ar"/>
              </w:rPr>
              <w:t>0.00</w:t>
            </w:r>
          </w:p>
        </w:tc>
      </w:tr>
      <w:tr w14:paraId="6EB2C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64" w:hRule="atLeast"/>
        </w:trPr>
        <w:tc>
          <w:tcPr>
            <w:tcW w:w="1420" w:type="dxa"/>
            <w:shd w:val="clear" w:color="auto" w:fill="auto"/>
            <w:noWrap w:val="0"/>
            <w:vAlign w:val="center"/>
          </w:tcPr>
          <w:p w14:paraId="0B6FC765">
            <w:pPr>
              <w:spacing w:line="240" w:lineRule="auto"/>
              <w:ind w:left="0" w:leftChars="0" w:firstLine="0" w:firstLineChars="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lang w:bidi="ar"/>
              </w:rPr>
              <w:t>年初结转和结余</w:t>
            </w:r>
          </w:p>
        </w:tc>
        <w:tc>
          <w:tcPr>
            <w:tcW w:w="1155" w:type="dxa"/>
            <w:shd w:val="clear" w:color="auto" w:fill="auto"/>
            <w:noWrap w:val="0"/>
            <w:vAlign w:val="center"/>
          </w:tcPr>
          <w:p w14:paraId="796D49F0">
            <w:pPr>
              <w:spacing w:line="240" w:lineRule="auto"/>
              <w:ind w:left="0" w:leftChars="0" w:firstLine="420" w:firstLineChars="200"/>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lang w:bidi="ar"/>
              </w:rPr>
              <w:t>0.00</w:t>
            </w:r>
          </w:p>
        </w:tc>
        <w:tc>
          <w:tcPr>
            <w:tcW w:w="1245" w:type="dxa"/>
            <w:shd w:val="clear" w:color="auto" w:fill="auto"/>
            <w:noWrap w:val="0"/>
            <w:vAlign w:val="center"/>
          </w:tcPr>
          <w:p w14:paraId="44AC3AEF">
            <w:pPr>
              <w:spacing w:line="240" w:lineRule="auto"/>
              <w:ind w:left="0" w:leftChars="0" w:firstLine="420" w:firstLineChars="200"/>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lang w:bidi="ar"/>
              </w:rPr>
              <w:t>0.00</w:t>
            </w:r>
          </w:p>
        </w:tc>
        <w:tc>
          <w:tcPr>
            <w:tcW w:w="1065" w:type="dxa"/>
            <w:shd w:val="clear" w:color="auto" w:fill="auto"/>
            <w:noWrap w:val="0"/>
            <w:vAlign w:val="center"/>
          </w:tcPr>
          <w:p w14:paraId="7D262750">
            <w:pPr>
              <w:spacing w:line="240" w:lineRule="auto"/>
              <w:ind w:left="0" w:leftChars="0" w:firstLine="420" w:firstLineChars="200"/>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lang w:bidi="ar"/>
              </w:rPr>
              <w:t>0.00</w:t>
            </w:r>
          </w:p>
        </w:tc>
        <w:tc>
          <w:tcPr>
            <w:tcW w:w="1620" w:type="dxa"/>
            <w:shd w:val="clear" w:color="auto" w:fill="auto"/>
            <w:noWrap w:val="0"/>
            <w:vAlign w:val="center"/>
          </w:tcPr>
          <w:p w14:paraId="2E5558B7">
            <w:pPr>
              <w:widowControl/>
              <w:spacing w:line="240" w:lineRule="auto"/>
              <w:ind w:left="0" w:leftChars="0" w:firstLine="0" w:firstLineChars="0"/>
              <w:jc w:val="lef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lang w:bidi="ar"/>
              </w:rPr>
              <w:t>年末结转和结余</w:t>
            </w:r>
          </w:p>
        </w:tc>
        <w:tc>
          <w:tcPr>
            <w:tcW w:w="1185" w:type="dxa"/>
            <w:shd w:val="clear" w:color="auto" w:fill="auto"/>
            <w:noWrap w:val="0"/>
            <w:vAlign w:val="center"/>
          </w:tcPr>
          <w:p w14:paraId="102F16FF">
            <w:pPr>
              <w:widowControl/>
              <w:spacing w:line="240" w:lineRule="auto"/>
              <w:ind w:left="0" w:leftChars="0" w:firstLine="0" w:firstLineChars="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lang w:bidi="ar"/>
              </w:rPr>
              <w:t>0.00</w:t>
            </w:r>
          </w:p>
        </w:tc>
        <w:tc>
          <w:tcPr>
            <w:tcW w:w="1110" w:type="dxa"/>
            <w:shd w:val="clear" w:color="auto" w:fill="auto"/>
            <w:noWrap w:val="0"/>
            <w:vAlign w:val="center"/>
          </w:tcPr>
          <w:p w14:paraId="0D7C1A57">
            <w:pPr>
              <w:widowControl/>
              <w:spacing w:line="240" w:lineRule="auto"/>
              <w:ind w:left="0" w:leftChars="0" w:firstLine="0" w:firstLineChars="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lang w:bidi="ar"/>
              </w:rPr>
              <w:t>0.00</w:t>
            </w:r>
          </w:p>
        </w:tc>
        <w:tc>
          <w:tcPr>
            <w:tcW w:w="1019" w:type="dxa"/>
            <w:shd w:val="clear" w:color="auto" w:fill="auto"/>
            <w:noWrap w:val="0"/>
            <w:vAlign w:val="center"/>
          </w:tcPr>
          <w:p w14:paraId="02BC988F">
            <w:pPr>
              <w:widowControl/>
              <w:spacing w:line="240" w:lineRule="auto"/>
              <w:ind w:left="0" w:leftChars="0" w:firstLine="0" w:firstLineChars="0"/>
              <w:jc w:val="right"/>
              <w:textAlignment w:val="center"/>
              <w:rPr>
                <w:rFonts w:hint="default" w:ascii="Times New Roman" w:hAnsi="Times New Roman" w:cs="Times New Roman"/>
                <w:color w:val="auto"/>
                <w:kern w:val="0"/>
                <w:sz w:val="21"/>
                <w:szCs w:val="21"/>
                <w:highlight w:val="none"/>
                <w:lang w:bidi="ar"/>
              </w:rPr>
            </w:pPr>
            <w:r>
              <w:rPr>
                <w:rFonts w:hint="default" w:ascii="Times New Roman" w:hAnsi="Times New Roman" w:cs="Times New Roman"/>
                <w:color w:val="auto"/>
                <w:kern w:val="0"/>
                <w:sz w:val="21"/>
                <w:szCs w:val="21"/>
                <w:highlight w:val="none"/>
                <w:lang w:bidi="ar"/>
              </w:rPr>
              <w:t>0.00</w:t>
            </w:r>
          </w:p>
        </w:tc>
      </w:tr>
      <w:tr w14:paraId="6E02E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42" w:hRule="atLeast"/>
        </w:trPr>
        <w:tc>
          <w:tcPr>
            <w:tcW w:w="1420" w:type="dxa"/>
            <w:shd w:val="clear" w:color="auto" w:fill="auto"/>
            <w:noWrap w:val="0"/>
            <w:vAlign w:val="center"/>
          </w:tcPr>
          <w:p w14:paraId="082CCF3C">
            <w:pPr>
              <w:widowControl/>
              <w:spacing w:line="240" w:lineRule="auto"/>
              <w:ind w:left="0" w:leftChars="0" w:firstLine="0" w:firstLineChars="0"/>
              <w:jc w:val="center"/>
              <w:textAlignment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kern w:val="0"/>
                <w:sz w:val="21"/>
                <w:szCs w:val="21"/>
                <w:highlight w:val="none"/>
                <w:lang w:bidi="ar"/>
              </w:rPr>
              <w:t>总计</w:t>
            </w:r>
          </w:p>
        </w:tc>
        <w:tc>
          <w:tcPr>
            <w:tcW w:w="1155" w:type="dxa"/>
            <w:shd w:val="clear" w:color="auto" w:fill="auto"/>
            <w:noWrap w:val="0"/>
            <w:vAlign w:val="center"/>
          </w:tcPr>
          <w:p w14:paraId="6C994088">
            <w:pPr>
              <w:widowControl/>
              <w:spacing w:line="240" w:lineRule="auto"/>
              <w:ind w:left="0" w:leftChars="0" w:firstLine="0" w:firstLineChars="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1,880.83</w:t>
            </w:r>
          </w:p>
        </w:tc>
        <w:tc>
          <w:tcPr>
            <w:tcW w:w="1245" w:type="dxa"/>
            <w:shd w:val="clear" w:color="auto" w:fill="auto"/>
            <w:noWrap w:val="0"/>
            <w:vAlign w:val="center"/>
          </w:tcPr>
          <w:p w14:paraId="73B6EC04">
            <w:pPr>
              <w:widowControl/>
              <w:spacing w:line="240" w:lineRule="auto"/>
              <w:ind w:left="0" w:leftChars="0" w:firstLine="0" w:firstLineChars="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2,594.98</w:t>
            </w:r>
          </w:p>
        </w:tc>
        <w:tc>
          <w:tcPr>
            <w:tcW w:w="1065" w:type="dxa"/>
            <w:shd w:val="clear" w:color="auto" w:fill="auto"/>
            <w:noWrap w:val="0"/>
            <w:vAlign w:val="center"/>
          </w:tcPr>
          <w:p w14:paraId="64C31667">
            <w:pPr>
              <w:widowControl/>
              <w:spacing w:line="240" w:lineRule="auto"/>
              <w:ind w:left="0" w:leftChars="0" w:firstLine="0" w:firstLineChars="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2,594.98</w:t>
            </w:r>
          </w:p>
        </w:tc>
        <w:tc>
          <w:tcPr>
            <w:tcW w:w="1620" w:type="dxa"/>
            <w:shd w:val="clear" w:color="auto" w:fill="auto"/>
            <w:noWrap w:val="0"/>
            <w:vAlign w:val="center"/>
          </w:tcPr>
          <w:p w14:paraId="02B4BB53">
            <w:pPr>
              <w:widowControl/>
              <w:spacing w:line="240" w:lineRule="auto"/>
              <w:ind w:left="0" w:leftChars="0" w:firstLine="0" w:firstLineChars="0"/>
              <w:jc w:val="center"/>
              <w:textAlignment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kern w:val="0"/>
                <w:sz w:val="21"/>
                <w:szCs w:val="21"/>
                <w:highlight w:val="none"/>
                <w:lang w:bidi="ar"/>
              </w:rPr>
              <w:t>总计</w:t>
            </w:r>
          </w:p>
        </w:tc>
        <w:tc>
          <w:tcPr>
            <w:tcW w:w="1185" w:type="dxa"/>
            <w:shd w:val="clear" w:color="auto" w:fill="auto"/>
            <w:noWrap w:val="0"/>
            <w:vAlign w:val="center"/>
          </w:tcPr>
          <w:p w14:paraId="248D9BB1">
            <w:pPr>
              <w:widowControl/>
              <w:spacing w:line="240" w:lineRule="auto"/>
              <w:ind w:left="0" w:leftChars="0" w:firstLine="0" w:firstLineChars="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1,880.83</w:t>
            </w:r>
          </w:p>
        </w:tc>
        <w:tc>
          <w:tcPr>
            <w:tcW w:w="1110" w:type="dxa"/>
            <w:shd w:val="clear" w:color="auto" w:fill="auto"/>
            <w:noWrap w:val="0"/>
            <w:vAlign w:val="center"/>
          </w:tcPr>
          <w:p w14:paraId="059F13D6">
            <w:pPr>
              <w:widowControl/>
              <w:spacing w:line="240" w:lineRule="auto"/>
              <w:ind w:left="0" w:leftChars="0" w:firstLine="0" w:firstLineChars="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2,594.98</w:t>
            </w:r>
          </w:p>
        </w:tc>
        <w:tc>
          <w:tcPr>
            <w:tcW w:w="1019" w:type="dxa"/>
            <w:shd w:val="clear" w:color="auto" w:fill="auto"/>
            <w:noWrap w:val="0"/>
            <w:vAlign w:val="center"/>
          </w:tcPr>
          <w:p w14:paraId="04D94227">
            <w:pPr>
              <w:widowControl/>
              <w:spacing w:line="240" w:lineRule="auto"/>
              <w:ind w:left="0" w:leftChars="0" w:firstLine="0" w:firstLineChars="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2,594.98</w:t>
            </w:r>
          </w:p>
        </w:tc>
      </w:tr>
      <w:bookmarkEnd w:id="120"/>
    </w:tbl>
    <w:p w14:paraId="561455D3">
      <w:pPr>
        <w:bidi w:val="0"/>
        <w:ind w:left="0" w:leftChars="0" w:firstLine="0" w:firstLineChars="0"/>
        <w:jc w:val="left"/>
        <w:rPr>
          <w:color w:val="auto"/>
          <w:sz w:val="22"/>
          <w:szCs w:val="16"/>
          <w:highlight w:val="none"/>
        </w:rPr>
        <w:sectPr>
          <w:pgSz w:w="11906" w:h="16838"/>
          <w:pgMar w:top="1440" w:right="1800" w:bottom="1440" w:left="1800" w:header="851" w:footer="992" w:gutter="0"/>
          <w:pgNumType w:fmt="decimal"/>
          <w:cols w:space="720" w:num="1"/>
          <w:docGrid w:type="lines" w:linePitch="312" w:charSpace="0"/>
        </w:sectPr>
      </w:pPr>
      <w:r>
        <w:rPr>
          <w:rFonts w:hint="eastAsia"/>
          <w:color w:val="auto"/>
          <w:sz w:val="22"/>
          <w:szCs w:val="16"/>
          <w:highlight w:val="none"/>
        </w:rPr>
        <w:t>注：统计</w:t>
      </w:r>
      <w:r>
        <w:rPr>
          <w:color w:val="auto"/>
          <w:sz w:val="22"/>
          <w:szCs w:val="16"/>
          <w:highlight w:val="none"/>
        </w:rPr>
        <w:t>日期</w:t>
      </w:r>
      <w:r>
        <w:rPr>
          <w:rFonts w:hint="eastAsia"/>
          <w:color w:val="auto"/>
          <w:sz w:val="22"/>
          <w:szCs w:val="16"/>
          <w:highlight w:val="none"/>
        </w:rPr>
        <w:t>为</w:t>
      </w:r>
      <w:r>
        <w:rPr>
          <w:rFonts w:hint="eastAsia"/>
          <w:color w:val="auto"/>
          <w:sz w:val="22"/>
          <w:szCs w:val="16"/>
          <w:highlight w:val="none"/>
          <w:lang w:val="en-US" w:eastAsia="zh-CN"/>
        </w:rPr>
        <w:t>2022</w:t>
      </w:r>
      <w:r>
        <w:rPr>
          <w:rFonts w:hint="eastAsia"/>
          <w:color w:val="auto"/>
          <w:sz w:val="22"/>
          <w:szCs w:val="16"/>
          <w:highlight w:val="none"/>
        </w:rPr>
        <w:t>年</w:t>
      </w:r>
      <w:r>
        <w:rPr>
          <w:rFonts w:hint="eastAsia"/>
          <w:color w:val="auto"/>
          <w:sz w:val="22"/>
          <w:szCs w:val="16"/>
          <w:highlight w:val="none"/>
          <w:lang w:val="en-US" w:eastAsia="zh-CN"/>
        </w:rPr>
        <w:t>1</w:t>
      </w:r>
      <w:r>
        <w:rPr>
          <w:rFonts w:hint="eastAsia"/>
          <w:color w:val="auto"/>
          <w:sz w:val="22"/>
          <w:szCs w:val="16"/>
          <w:highlight w:val="none"/>
        </w:rPr>
        <w:t>月</w:t>
      </w:r>
      <w:r>
        <w:rPr>
          <w:rFonts w:hint="eastAsia"/>
          <w:color w:val="auto"/>
          <w:sz w:val="22"/>
          <w:szCs w:val="16"/>
          <w:highlight w:val="none"/>
          <w:lang w:val="en-US" w:eastAsia="zh-CN"/>
        </w:rPr>
        <w:t>1</w:t>
      </w:r>
      <w:r>
        <w:rPr>
          <w:rFonts w:hint="eastAsia"/>
          <w:color w:val="auto"/>
          <w:sz w:val="22"/>
          <w:szCs w:val="16"/>
          <w:highlight w:val="none"/>
        </w:rPr>
        <w:t>日——</w:t>
      </w:r>
      <w:r>
        <w:rPr>
          <w:rFonts w:hint="eastAsia"/>
          <w:color w:val="auto"/>
          <w:sz w:val="22"/>
          <w:szCs w:val="16"/>
          <w:highlight w:val="none"/>
          <w:lang w:val="en-US" w:eastAsia="zh-CN"/>
        </w:rPr>
        <w:t>2022</w:t>
      </w:r>
      <w:r>
        <w:rPr>
          <w:color w:val="auto"/>
          <w:sz w:val="22"/>
          <w:szCs w:val="16"/>
          <w:highlight w:val="none"/>
        </w:rPr>
        <w:t>年</w:t>
      </w:r>
      <w:r>
        <w:rPr>
          <w:rFonts w:hint="eastAsia"/>
          <w:color w:val="auto"/>
          <w:sz w:val="22"/>
          <w:szCs w:val="16"/>
          <w:highlight w:val="none"/>
          <w:lang w:val="en-US" w:eastAsia="zh-CN"/>
        </w:rPr>
        <w:t>12</w:t>
      </w:r>
      <w:r>
        <w:rPr>
          <w:color w:val="auto"/>
          <w:sz w:val="22"/>
          <w:szCs w:val="16"/>
          <w:highlight w:val="none"/>
        </w:rPr>
        <w:t>月</w:t>
      </w:r>
      <w:r>
        <w:rPr>
          <w:rFonts w:hint="eastAsia"/>
          <w:color w:val="auto"/>
          <w:sz w:val="22"/>
          <w:szCs w:val="16"/>
          <w:highlight w:val="none"/>
          <w:lang w:val="en-US" w:eastAsia="zh-CN"/>
        </w:rPr>
        <w:t>31</w:t>
      </w:r>
      <w:r>
        <w:rPr>
          <w:color w:val="auto"/>
          <w:sz w:val="22"/>
          <w:szCs w:val="16"/>
          <w:highlight w:val="none"/>
        </w:rPr>
        <w:t>日</w:t>
      </w:r>
    </w:p>
    <w:p w14:paraId="277B8694">
      <w:pPr>
        <w:spacing w:before="312" w:beforeLines="100" w:line="360" w:lineRule="auto"/>
        <w:ind w:left="0" w:leftChars="0" w:firstLine="0" w:firstLineChars="0"/>
        <w:jc w:val="left"/>
        <w:outlineLvl w:val="0"/>
        <w:rPr>
          <w:rFonts w:hint="eastAsia" w:ascii="楷体_GB2312" w:hAnsi="楷体_GB2312" w:eastAsia="楷体_GB2312" w:cs="楷体_GB2312"/>
          <w:b/>
          <w:bCs/>
          <w:color w:val="auto"/>
          <w:sz w:val="32"/>
          <w:szCs w:val="32"/>
          <w:highlight w:val="none"/>
        </w:rPr>
      </w:pPr>
      <w:bookmarkStart w:id="192" w:name="_Toc24866"/>
      <w:r>
        <w:rPr>
          <w:rFonts w:hint="eastAsia" w:ascii="楷体_GB2312" w:hAnsi="楷体_GB2312" w:eastAsia="楷体_GB2312" w:cs="楷体_GB2312"/>
          <w:b/>
          <w:bCs/>
          <w:color w:val="auto"/>
          <w:sz w:val="32"/>
          <w:szCs w:val="32"/>
          <w:highlight w:val="none"/>
        </w:rPr>
        <w:t>附件4：</w:t>
      </w:r>
      <w:bookmarkEnd w:id="192"/>
    </w:p>
    <w:p w14:paraId="28BB4B00">
      <w:pPr>
        <w:bidi w:val="0"/>
        <w:ind w:left="0" w:leftChars="0" w:firstLine="0" w:firstLineChars="0"/>
        <w:jc w:val="center"/>
        <w:rPr>
          <w:rFonts w:hint="eastAsia"/>
          <w:b/>
          <w:bCs/>
          <w:color w:val="auto"/>
          <w:highlight w:val="none"/>
        </w:rPr>
      </w:pPr>
      <w:r>
        <w:rPr>
          <w:rFonts w:hint="eastAsia"/>
          <w:b/>
          <w:bCs/>
          <w:color w:val="auto"/>
          <w:highlight w:val="none"/>
        </w:rPr>
        <w:t>部门整体支出绩效评价表</w:t>
      </w:r>
    </w:p>
    <w:tbl>
      <w:tblPr>
        <w:tblStyle w:val="22"/>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535"/>
        <w:gridCol w:w="517"/>
        <w:gridCol w:w="476"/>
        <w:gridCol w:w="471"/>
        <w:gridCol w:w="569"/>
        <w:gridCol w:w="525"/>
        <w:gridCol w:w="2352"/>
        <w:gridCol w:w="4646"/>
        <w:gridCol w:w="634"/>
        <w:gridCol w:w="3255"/>
      </w:tblGrid>
      <w:tr w14:paraId="677B3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tblHeader/>
          <w:jc w:val="center"/>
        </w:trPr>
        <w:tc>
          <w:tcPr>
            <w:tcW w:w="1106"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87347">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lang w:val="en-US" w:eastAsia="zh-CN" w:bidi="ar"/>
              </w:rPr>
              <w:t>评价指标</w:t>
            </w:r>
          </w:p>
        </w:tc>
        <w:tc>
          <w:tcPr>
            <w:tcW w:w="84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A4466">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lang w:val="en-US" w:eastAsia="zh-CN" w:bidi="ar"/>
              </w:rPr>
              <w:t>指标说明</w:t>
            </w:r>
          </w:p>
        </w:tc>
        <w:tc>
          <w:tcPr>
            <w:tcW w:w="166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7522D">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lang w:val="en-US" w:eastAsia="zh-CN" w:bidi="ar"/>
              </w:rPr>
              <w:t>评分标准</w:t>
            </w:r>
          </w:p>
        </w:tc>
        <w:tc>
          <w:tcPr>
            <w:tcW w:w="2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718484">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lang w:val="en-US" w:eastAsia="zh-CN" w:bidi="ar"/>
              </w:rPr>
              <w:t>得分</w:t>
            </w:r>
          </w:p>
        </w:tc>
        <w:tc>
          <w:tcPr>
            <w:tcW w:w="116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7A4B9">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lang w:val="en-US" w:eastAsia="zh-CN" w:bidi="ar"/>
              </w:rPr>
              <w:t>加/扣分原因</w:t>
            </w:r>
          </w:p>
        </w:tc>
      </w:tr>
      <w:tr w14:paraId="31EEC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1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CC6B9">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lang w:val="en-US" w:eastAsia="zh-CN" w:bidi="ar"/>
              </w:rPr>
              <w:t>一级指标</w:t>
            </w: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DE11C">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lang w:val="en-US" w:eastAsia="zh-CN" w:bidi="ar"/>
              </w:rPr>
              <w:t>权重(%)</w:t>
            </w: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7281A">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lang w:val="en-US" w:eastAsia="zh-CN" w:bidi="ar"/>
              </w:rPr>
              <w:t>二级指标</w:t>
            </w:r>
          </w:p>
        </w:tc>
        <w:tc>
          <w:tcPr>
            <w:tcW w:w="16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E23A43">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79D5C">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lang w:val="en-US" w:eastAsia="zh-CN" w:bidi="ar"/>
              </w:rPr>
              <w:t>三级指标</w:t>
            </w:r>
          </w:p>
        </w:tc>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311A7">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lang w:val="en-US" w:eastAsia="zh-CN" w:bidi="ar"/>
              </w:rPr>
              <w:t>权重(%)</w:t>
            </w:r>
          </w:p>
        </w:tc>
        <w:tc>
          <w:tcPr>
            <w:tcW w:w="84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9426D">
            <w:pPr>
              <w:spacing w:line="240" w:lineRule="auto"/>
              <w:jc w:val="center"/>
              <w:rPr>
                <w:rFonts w:hint="eastAsia" w:asciiTheme="minorEastAsia" w:hAnsiTheme="minorEastAsia" w:eastAsiaTheme="minorEastAsia" w:cstheme="minorEastAsia"/>
                <w:b/>
                <w:bCs/>
                <w:color w:val="auto"/>
                <w:sz w:val="21"/>
                <w:szCs w:val="21"/>
                <w:highlight w:val="none"/>
              </w:rPr>
            </w:pPr>
          </w:p>
        </w:tc>
        <w:tc>
          <w:tcPr>
            <w:tcW w:w="16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BB56F">
            <w:pPr>
              <w:spacing w:line="240" w:lineRule="auto"/>
              <w:jc w:val="center"/>
              <w:rPr>
                <w:rFonts w:hint="eastAsia" w:asciiTheme="minorEastAsia" w:hAnsiTheme="minorEastAsia" w:eastAsiaTheme="minorEastAsia" w:cstheme="minorEastAsia"/>
                <w:b/>
                <w:bCs/>
                <w:color w:val="auto"/>
                <w:sz w:val="21"/>
                <w:szCs w:val="21"/>
                <w:highlight w:val="none"/>
              </w:rPr>
            </w:pPr>
          </w:p>
        </w:tc>
        <w:tc>
          <w:tcPr>
            <w:tcW w:w="2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798FDD">
            <w:pPr>
              <w:spacing w:line="240" w:lineRule="auto"/>
              <w:jc w:val="center"/>
              <w:rPr>
                <w:rFonts w:hint="eastAsia" w:asciiTheme="minorEastAsia" w:hAnsiTheme="minorEastAsia" w:eastAsiaTheme="minorEastAsia" w:cstheme="minorEastAsia"/>
                <w:b/>
                <w:bCs/>
                <w:color w:val="auto"/>
                <w:sz w:val="21"/>
                <w:szCs w:val="21"/>
                <w:highlight w:val="none"/>
              </w:rPr>
            </w:pPr>
          </w:p>
        </w:tc>
        <w:tc>
          <w:tcPr>
            <w:tcW w:w="116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B043E">
            <w:pPr>
              <w:spacing w:line="240" w:lineRule="auto"/>
              <w:jc w:val="center"/>
              <w:rPr>
                <w:rFonts w:hint="eastAsia" w:asciiTheme="minorEastAsia" w:hAnsiTheme="minorEastAsia" w:eastAsiaTheme="minorEastAsia" w:cstheme="minorEastAsia"/>
                <w:b/>
                <w:bCs/>
                <w:color w:val="auto"/>
                <w:sz w:val="21"/>
                <w:szCs w:val="21"/>
                <w:highlight w:val="none"/>
              </w:rPr>
            </w:pPr>
          </w:p>
        </w:tc>
      </w:tr>
      <w:tr w14:paraId="00BF0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1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9852B">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lang w:val="en-US" w:eastAsia="zh-CN" w:bidi="ar"/>
              </w:rPr>
              <w:t>名称</w:t>
            </w: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43C42">
            <w:pPr>
              <w:spacing w:line="240" w:lineRule="auto"/>
              <w:jc w:val="center"/>
              <w:rPr>
                <w:rFonts w:hint="eastAsia" w:asciiTheme="minorEastAsia" w:hAnsiTheme="minorEastAsia" w:eastAsiaTheme="minorEastAsia" w:cstheme="minorEastAsia"/>
                <w:b/>
                <w:bCs/>
                <w:color w:val="auto"/>
                <w:sz w:val="21"/>
                <w:szCs w:val="21"/>
                <w:highlight w:val="none"/>
              </w:rPr>
            </w:pP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7A071">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lang w:val="en-US" w:eastAsia="zh-CN" w:bidi="ar"/>
              </w:rPr>
              <w:t>名称</w:t>
            </w: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0F769">
            <w:pPr>
              <w:spacing w:line="240" w:lineRule="auto"/>
              <w:jc w:val="center"/>
              <w:rPr>
                <w:rFonts w:hint="eastAsia" w:asciiTheme="minorEastAsia" w:hAnsiTheme="minorEastAsia" w:eastAsiaTheme="minorEastAsia" w:cstheme="minorEastAsia"/>
                <w:b/>
                <w:bCs/>
                <w:color w:val="auto"/>
                <w:sz w:val="21"/>
                <w:szCs w:val="21"/>
                <w:highlight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74C581">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lang w:val="en-US" w:eastAsia="zh-CN" w:bidi="ar"/>
              </w:rPr>
              <w:t>名称</w:t>
            </w:r>
          </w:p>
        </w:tc>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D797B">
            <w:pPr>
              <w:spacing w:line="240" w:lineRule="auto"/>
              <w:jc w:val="center"/>
              <w:rPr>
                <w:rFonts w:hint="eastAsia" w:asciiTheme="minorEastAsia" w:hAnsiTheme="minorEastAsia" w:eastAsiaTheme="minorEastAsia" w:cstheme="minorEastAsia"/>
                <w:b/>
                <w:bCs/>
                <w:color w:val="auto"/>
                <w:sz w:val="21"/>
                <w:szCs w:val="21"/>
                <w:highlight w:val="none"/>
              </w:rPr>
            </w:pPr>
          </w:p>
        </w:tc>
        <w:tc>
          <w:tcPr>
            <w:tcW w:w="84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49627">
            <w:pPr>
              <w:spacing w:line="240" w:lineRule="auto"/>
              <w:jc w:val="center"/>
              <w:rPr>
                <w:rFonts w:hint="eastAsia" w:asciiTheme="minorEastAsia" w:hAnsiTheme="minorEastAsia" w:eastAsiaTheme="minorEastAsia" w:cstheme="minorEastAsia"/>
                <w:b/>
                <w:bCs/>
                <w:color w:val="auto"/>
                <w:sz w:val="21"/>
                <w:szCs w:val="21"/>
                <w:highlight w:val="none"/>
              </w:rPr>
            </w:pPr>
          </w:p>
        </w:tc>
        <w:tc>
          <w:tcPr>
            <w:tcW w:w="16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76269">
            <w:pPr>
              <w:spacing w:line="240" w:lineRule="auto"/>
              <w:jc w:val="center"/>
              <w:rPr>
                <w:rFonts w:hint="eastAsia" w:asciiTheme="minorEastAsia" w:hAnsiTheme="minorEastAsia" w:eastAsiaTheme="minorEastAsia" w:cstheme="minorEastAsia"/>
                <w:b/>
                <w:bCs/>
                <w:color w:val="auto"/>
                <w:sz w:val="21"/>
                <w:szCs w:val="21"/>
                <w:highlight w:val="none"/>
              </w:rPr>
            </w:pPr>
          </w:p>
        </w:tc>
        <w:tc>
          <w:tcPr>
            <w:tcW w:w="2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2F0D1D">
            <w:pPr>
              <w:spacing w:line="240" w:lineRule="auto"/>
              <w:jc w:val="center"/>
              <w:rPr>
                <w:rFonts w:hint="eastAsia" w:asciiTheme="minorEastAsia" w:hAnsiTheme="minorEastAsia" w:eastAsiaTheme="minorEastAsia" w:cstheme="minorEastAsia"/>
                <w:b/>
                <w:bCs/>
                <w:color w:val="auto"/>
                <w:sz w:val="21"/>
                <w:szCs w:val="21"/>
                <w:highlight w:val="none"/>
              </w:rPr>
            </w:pPr>
          </w:p>
        </w:tc>
        <w:tc>
          <w:tcPr>
            <w:tcW w:w="116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5D3F09">
            <w:pPr>
              <w:spacing w:line="240" w:lineRule="auto"/>
              <w:jc w:val="center"/>
              <w:rPr>
                <w:rFonts w:hint="eastAsia" w:asciiTheme="minorEastAsia" w:hAnsiTheme="minorEastAsia" w:eastAsiaTheme="minorEastAsia" w:cstheme="minorEastAsia"/>
                <w:b/>
                <w:bCs/>
                <w:color w:val="auto"/>
                <w:sz w:val="21"/>
                <w:szCs w:val="21"/>
                <w:highlight w:val="none"/>
              </w:rPr>
            </w:pPr>
          </w:p>
        </w:tc>
      </w:tr>
      <w:tr w14:paraId="76F1A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9" w:hRule="atLeast"/>
          <w:jc w:val="center"/>
        </w:trPr>
        <w:tc>
          <w:tcPr>
            <w:tcW w:w="1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38ED1">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i w:val="0"/>
                <w:iCs w:val="0"/>
                <w:color w:val="auto"/>
                <w:kern w:val="0"/>
                <w:sz w:val="21"/>
                <w:szCs w:val="21"/>
                <w:highlight w:val="none"/>
                <w:lang w:val="en-US" w:eastAsia="zh-CN" w:bidi="ar"/>
              </w:rPr>
            </w:pPr>
          </w:p>
          <w:p w14:paraId="0C2FEF21">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i w:val="0"/>
                <w:iCs w:val="0"/>
                <w:color w:val="auto"/>
                <w:kern w:val="0"/>
                <w:sz w:val="21"/>
                <w:szCs w:val="21"/>
                <w:highlight w:val="none"/>
                <w:lang w:val="en-US" w:eastAsia="zh-CN" w:bidi="ar"/>
              </w:rPr>
            </w:pPr>
          </w:p>
          <w:p w14:paraId="78190B51">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i w:val="0"/>
                <w:iCs w:val="0"/>
                <w:color w:val="auto"/>
                <w:kern w:val="0"/>
                <w:sz w:val="21"/>
                <w:szCs w:val="21"/>
                <w:highlight w:val="none"/>
                <w:lang w:val="en-US" w:eastAsia="zh-CN" w:bidi="ar"/>
              </w:rPr>
            </w:pPr>
          </w:p>
          <w:p w14:paraId="3AC80098">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i w:val="0"/>
                <w:iCs w:val="0"/>
                <w:color w:val="auto"/>
                <w:kern w:val="0"/>
                <w:sz w:val="21"/>
                <w:szCs w:val="21"/>
                <w:highlight w:val="none"/>
                <w:lang w:val="en-US" w:eastAsia="zh-CN" w:bidi="ar"/>
              </w:rPr>
            </w:pPr>
          </w:p>
          <w:p w14:paraId="50E66A34">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i w:val="0"/>
                <w:iCs w:val="0"/>
                <w:color w:val="auto"/>
                <w:kern w:val="0"/>
                <w:sz w:val="21"/>
                <w:szCs w:val="21"/>
                <w:highlight w:val="none"/>
                <w:lang w:val="en-US" w:eastAsia="zh-CN" w:bidi="ar"/>
              </w:rPr>
            </w:pPr>
          </w:p>
          <w:p w14:paraId="2CAC221B">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i w:val="0"/>
                <w:iCs w:val="0"/>
                <w:color w:val="auto"/>
                <w:kern w:val="0"/>
                <w:sz w:val="21"/>
                <w:szCs w:val="21"/>
                <w:highlight w:val="none"/>
                <w:lang w:val="en-US" w:eastAsia="zh-CN" w:bidi="ar"/>
              </w:rPr>
            </w:pPr>
          </w:p>
          <w:p w14:paraId="6811E857">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i w:val="0"/>
                <w:iCs w:val="0"/>
                <w:color w:val="auto"/>
                <w:kern w:val="0"/>
                <w:sz w:val="21"/>
                <w:szCs w:val="21"/>
                <w:highlight w:val="none"/>
                <w:lang w:val="en-US" w:eastAsia="zh-CN" w:bidi="ar"/>
              </w:rPr>
            </w:pPr>
          </w:p>
          <w:p w14:paraId="020F6BB8">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i w:val="0"/>
                <w:iCs w:val="0"/>
                <w:color w:val="auto"/>
                <w:kern w:val="0"/>
                <w:sz w:val="21"/>
                <w:szCs w:val="21"/>
                <w:highlight w:val="none"/>
                <w:lang w:val="en-US" w:eastAsia="zh-CN" w:bidi="ar"/>
              </w:rPr>
            </w:pPr>
          </w:p>
          <w:p w14:paraId="35A33880">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i w:val="0"/>
                <w:iCs w:val="0"/>
                <w:color w:val="auto"/>
                <w:kern w:val="0"/>
                <w:sz w:val="21"/>
                <w:szCs w:val="21"/>
                <w:highlight w:val="none"/>
                <w:lang w:val="en-US" w:eastAsia="zh-CN" w:bidi="ar"/>
              </w:rPr>
            </w:pPr>
          </w:p>
          <w:p w14:paraId="5895E590">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i w:val="0"/>
                <w:iCs w:val="0"/>
                <w:color w:val="auto"/>
                <w:kern w:val="0"/>
                <w:sz w:val="21"/>
                <w:szCs w:val="21"/>
                <w:highlight w:val="none"/>
                <w:lang w:val="en-US" w:eastAsia="zh-CN" w:bidi="ar"/>
              </w:rPr>
            </w:pPr>
          </w:p>
          <w:p w14:paraId="6CC7C2BD">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i w:val="0"/>
                <w:iCs w:val="0"/>
                <w:color w:val="auto"/>
                <w:kern w:val="0"/>
                <w:sz w:val="21"/>
                <w:szCs w:val="21"/>
                <w:highlight w:val="none"/>
                <w:lang w:val="en-US" w:eastAsia="zh-CN" w:bidi="ar"/>
              </w:rPr>
            </w:pPr>
          </w:p>
          <w:p w14:paraId="7BB51B2D">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i w:val="0"/>
                <w:iCs w:val="0"/>
                <w:color w:val="auto"/>
                <w:kern w:val="0"/>
                <w:sz w:val="21"/>
                <w:szCs w:val="21"/>
                <w:highlight w:val="none"/>
                <w:lang w:val="en-US" w:eastAsia="zh-CN" w:bidi="ar"/>
              </w:rPr>
            </w:pPr>
          </w:p>
          <w:p w14:paraId="128FB24B">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i w:val="0"/>
                <w:iCs w:val="0"/>
                <w:color w:val="auto"/>
                <w:kern w:val="0"/>
                <w:sz w:val="21"/>
                <w:szCs w:val="21"/>
                <w:highlight w:val="none"/>
                <w:lang w:val="en-US" w:eastAsia="zh-CN" w:bidi="ar"/>
              </w:rPr>
            </w:pPr>
          </w:p>
          <w:p w14:paraId="2B5708C0">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i w:val="0"/>
                <w:iCs w:val="0"/>
                <w:color w:val="auto"/>
                <w:kern w:val="0"/>
                <w:sz w:val="21"/>
                <w:szCs w:val="21"/>
                <w:highlight w:val="none"/>
                <w:lang w:val="en-US" w:eastAsia="zh-CN" w:bidi="ar"/>
              </w:rPr>
            </w:pPr>
          </w:p>
          <w:p w14:paraId="653EB3FE">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i w:val="0"/>
                <w:iCs w:val="0"/>
                <w:color w:val="auto"/>
                <w:kern w:val="0"/>
                <w:sz w:val="21"/>
                <w:szCs w:val="21"/>
                <w:highlight w:val="none"/>
                <w:lang w:val="en-US" w:eastAsia="zh-CN" w:bidi="ar"/>
              </w:rPr>
            </w:pPr>
          </w:p>
          <w:p w14:paraId="2D0CE94B">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i w:val="0"/>
                <w:iCs w:val="0"/>
                <w:color w:val="auto"/>
                <w:kern w:val="0"/>
                <w:sz w:val="21"/>
                <w:szCs w:val="21"/>
                <w:highlight w:val="none"/>
                <w:lang w:val="en-US" w:eastAsia="zh-CN" w:bidi="ar"/>
              </w:rPr>
              <w:t>预算编制情况</w:t>
            </w: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FE1D22">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i w:val="0"/>
                <w:iCs w:val="0"/>
                <w:color w:val="auto"/>
                <w:kern w:val="0"/>
                <w:sz w:val="21"/>
                <w:szCs w:val="21"/>
                <w:highlight w:val="none"/>
                <w:lang w:val="en-US" w:eastAsia="zh-CN" w:bidi="ar"/>
              </w:rPr>
            </w:pPr>
          </w:p>
          <w:p w14:paraId="1CFABF9F">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i w:val="0"/>
                <w:iCs w:val="0"/>
                <w:color w:val="auto"/>
                <w:kern w:val="0"/>
                <w:sz w:val="21"/>
                <w:szCs w:val="21"/>
                <w:highlight w:val="none"/>
                <w:lang w:val="en-US" w:eastAsia="zh-CN" w:bidi="ar"/>
              </w:rPr>
            </w:pPr>
          </w:p>
          <w:p w14:paraId="250967A9">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i w:val="0"/>
                <w:iCs w:val="0"/>
                <w:color w:val="auto"/>
                <w:kern w:val="0"/>
                <w:sz w:val="21"/>
                <w:szCs w:val="21"/>
                <w:highlight w:val="none"/>
                <w:lang w:val="en-US" w:eastAsia="zh-CN" w:bidi="ar"/>
              </w:rPr>
            </w:pPr>
          </w:p>
          <w:p w14:paraId="2E0D5A82">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i w:val="0"/>
                <w:iCs w:val="0"/>
                <w:color w:val="auto"/>
                <w:kern w:val="0"/>
                <w:sz w:val="21"/>
                <w:szCs w:val="21"/>
                <w:highlight w:val="none"/>
                <w:lang w:val="en-US" w:eastAsia="zh-CN" w:bidi="ar"/>
              </w:rPr>
            </w:pPr>
          </w:p>
          <w:p w14:paraId="21578740">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i w:val="0"/>
                <w:iCs w:val="0"/>
                <w:color w:val="auto"/>
                <w:kern w:val="0"/>
                <w:sz w:val="21"/>
                <w:szCs w:val="21"/>
                <w:highlight w:val="none"/>
                <w:lang w:val="en-US" w:eastAsia="zh-CN" w:bidi="ar"/>
              </w:rPr>
            </w:pPr>
          </w:p>
          <w:p w14:paraId="56A1E27B">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i w:val="0"/>
                <w:iCs w:val="0"/>
                <w:color w:val="auto"/>
                <w:kern w:val="0"/>
                <w:sz w:val="21"/>
                <w:szCs w:val="21"/>
                <w:highlight w:val="none"/>
                <w:lang w:val="en-US" w:eastAsia="zh-CN" w:bidi="ar"/>
              </w:rPr>
            </w:pPr>
          </w:p>
          <w:p w14:paraId="0D9D526B">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i w:val="0"/>
                <w:iCs w:val="0"/>
                <w:color w:val="auto"/>
                <w:kern w:val="0"/>
                <w:sz w:val="21"/>
                <w:szCs w:val="21"/>
                <w:highlight w:val="none"/>
                <w:lang w:val="en-US" w:eastAsia="zh-CN" w:bidi="ar"/>
              </w:rPr>
            </w:pPr>
          </w:p>
          <w:p w14:paraId="3B1C272A">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i w:val="0"/>
                <w:iCs w:val="0"/>
                <w:color w:val="auto"/>
                <w:kern w:val="0"/>
                <w:sz w:val="21"/>
                <w:szCs w:val="21"/>
                <w:highlight w:val="none"/>
                <w:lang w:val="en-US" w:eastAsia="zh-CN" w:bidi="ar"/>
              </w:rPr>
            </w:pPr>
          </w:p>
          <w:p w14:paraId="7D3199B0">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i w:val="0"/>
                <w:iCs w:val="0"/>
                <w:color w:val="auto"/>
                <w:kern w:val="0"/>
                <w:sz w:val="21"/>
                <w:szCs w:val="21"/>
                <w:highlight w:val="none"/>
                <w:lang w:val="en-US" w:eastAsia="zh-CN" w:bidi="ar"/>
              </w:rPr>
            </w:pPr>
          </w:p>
          <w:p w14:paraId="4E3961A2">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i w:val="0"/>
                <w:iCs w:val="0"/>
                <w:color w:val="auto"/>
                <w:kern w:val="0"/>
                <w:sz w:val="21"/>
                <w:szCs w:val="21"/>
                <w:highlight w:val="none"/>
                <w:lang w:val="en-US" w:eastAsia="zh-CN" w:bidi="ar"/>
              </w:rPr>
            </w:pPr>
          </w:p>
          <w:p w14:paraId="0CB74EF8">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i w:val="0"/>
                <w:iCs w:val="0"/>
                <w:color w:val="auto"/>
                <w:kern w:val="0"/>
                <w:sz w:val="21"/>
                <w:szCs w:val="21"/>
                <w:highlight w:val="none"/>
                <w:lang w:val="en-US" w:eastAsia="zh-CN" w:bidi="ar"/>
              </w:rPr>
            </w:pPr>
          </w:p>
          <w:p w14:paraId="20B1D9DF">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i w:val="0"/>
                <w:iCs w:val="0"/>
                <w:color w:val="auto"/>
                <w:kern w:val="0"/>
                <w:sz w:val="21"/>
                <w:szCs w:val="21"/>
                <w:highlight w:val="none"/>
                <w:lang w:val="en-US" w:eastAsia="zh-CN" w:bidi="ar"/>
              </w:rPr>
            </w:pPr>
          </w:p>
          <w:p w14:paraId="09D79E09">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i w:val="0"/>
                <w:iCs w:val="0"/>
                <w:color w:val="auto"/>
                <w:kern w:val="0"/>
                <w:sz w:val="21"/>
                <w:szCs w:val="21"/>
                <w:highlight w:val="none"/>
                <w:lang w:val="en-US" w:eastAsia="zh-CN" w:bidi="ar"/>
              </w:rPr>
            </w:pPr>
          </w:p>
          <w:p w14:paraId="6CD91509">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i w:val="0"/>
                <w:iCs w:val="0"/>
                <w:color w:val="auto"/>
                <w:kern w:val="0"/>
                <w:sz w:val="21"/>
                <w:szCs w:val="21"/>
                <w:highlight w:val="none"/>
                <w:lang w:val="en-US" w:eastAsia="zh-CN" w:bidi="ar"/>
              </w:rPr>
            </w:pPr>
          </w:p>
          <w:p w14:paraId="7D0BA05D">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i w:val="0"/>
                <w:iCs w:val="0"/>
                <w:color w:val="auto"/>
                <w:kern w:val="0"/>
                <w:sz w:val="21"/>
                <w:szCs w:val="21"/>
                <w:highlight w:val="none"/>
                <w:lang w:val="en-US" w:eastAsia="zh-CN" w:bidi="ar"/>
              </w:rPr>
            </w:pPr>
          </w:p>
          <w:p w14:paraId="36582D84">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i w:val="0"/>
                <w:iCs w:val="0"/>
                <w:color w:val="auto"/>
                <w:kern w:val="0"/>
                <w:sz w:val="21"/>
                <w:szCs w:val="21"/>
                <w:highlight w:val="none"/>
                <w:lang w:val="en-US" w:eastAsia="zh-CN" w:bidi="ar"/>
              </w:rPr>
            </w:pPr>
          </w:p>
          <w:p w14:paraId="1346CC63">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i w:val="0"/>
                <w:iCs w:val="0"/>
                <w:color w:val="auto"/>
                <w:kern w:val="0"/>
                <w:sz w:val="21"/>
                <w:szCs w:val="21"/>
                <w:highlight w:val="none"/>
                <w:lang w:val="en-US" w:eastAsia="zh-CN" w:bidi="ar"/>
              </w:rPr>
              <w:t>19</w:t>
            </w:r>
          </w:p>
        </w:tc>
        <w:tc>
          <w:tcPr>
            <w:tcW w:w="1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1E69A">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i w:val="0"/>
                <w:iCs w:val="0"/>
                <w:color w:val="auto"/>
                <w:kern w:val="0"/>
                <w:sz w:val="21"/>
                <w:szCs w:val="21"/>
                <w:highlight w:val="none"/>
                <w:lang w:val="en-US" w:eastAsia="zh-CN" w:bidi="ar"/>
              </w:rPr>
              <w:t>预算编制</w:t>
            </w:r>
          </w:p>
        </w:tc>
        <w:tc>
          <w:tcPr>
            <w:tcW w:w="16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AD7BEB">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i w:val="0"/>
                <w:iCs w:val="0"/>
                <w:color w:val="auto"/>
                <w:kern w:val="0"/>
                <w:sz w:val="21"/>
                <w:szCs w:val="21"/>
                <w:highlight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01553">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i w:val="0"/>
                <w:iCs w:val="0"/>
                <w:color w:val="auto"/>
                <w:kern w:val="0"/>
                <w:sz w:val="21"/>
                <w:szCs w:val="21"/>
                <w:highlight w:val="none"/>
                <w:lang w:val="en-US" w:eastAsia="zh-CN" w:bidi="ar"/>
              </w:rPr>
              <w:t>预算编制合理性</w:t>
            </w:r>
          </w:p>
        </w:tc>
        <w:tc>
          <w:tcPr>
            <w:tcW w:w="1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5767F5">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i w:val="0"/>
                <w:iCs w:val="0"/>
                <w:color w:val="auto"/>
                <w:kern w:val="0"/>
                <w:sz w:val="21"/>
                <w:szCs w:val="21"/>
                <w:highlight w:val="none"/>
                <w:lang w:val="en-US" w:eastAsia="zh-CN" w:bidi="ar"/>
              </w:rPr>
              <w:t>3</w:t>
            </w:r>
          </w:p>
        </w:tc>
        <w:tc>
          <w:tcPr>
            <w:tcW w:w="8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EC5B8">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lang w:val="en-US" w:eastAsia="zh-CN" w:bidi="ar"/>
              </w:rPr>
              <w:t>考核部门预算的合理性，即是否符合本部门职责、是否符合区委区政府的方针政策和工作要求，资金有无根据项目的轻重缓急进行分配。</w:t>
            </w:r>
          </w:p>
        </w:tc>
        <w:tc>
          <w:tcPr>
            <w:tcW w:w="16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4BD7E">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Theme="minorEastAsia" w:hAnsiTheme="minorEastAsia" w:eastAsiaTheme="minorEastAsia" w:cstheme="minorEastAsia"/>
                <w:i w:val="0"/>
                <w:iCs w:val="0"/>
                <w:color w:val="auto"/>
                <w:kern w:val="0"/>
                <w:sz w:val="21"/>
                <w:szCs w:val="21"/>
                <w:highlight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lang w:val="en-US" w:eastAsia="zh-CN" w:bidi="ar"/>
              </w:rPr>
              <w:t>1.专项资金编制细化程度合理，未出现因年中调剂导致部门预决算差异过大问题的，得1分；</w:t>
            </w:r>
          </w:p>
          <w:p w14:paraId="1BBDFB8B">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Theme="minorEastAsia" w:hAnsiTheme="minorEastAsia" w:eastAsiaTheme="minorEastAsia" w:cstheme="minorEastAsia"/>
                <w:i w:val="0"/>
                <w:iCs w:val="0"/>
                <w:color w:val="auto"/>
                <w:kern w:val="0"/>
                <w:sz w:val="21"/>
                <w:szCs w:val="21"/>
                <w:highlight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lang w:val="en-US" w:eastAsia="zh-CN" w:bidi="ar"/>
              </w:rPr>
              <w:t>2.功能分类和经济分类编制准确，年度中间无大量调剂，项目之间未频繁调剂的，得1分；</w:t>
            </w:r>
          </w:p>
          <w:p w14:paraId="14D3E479">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lang w:val="en-US" w:eastAsia="zh-CN" w:bidi="ar"/>
              </w:rPr>
              <w:t>3.部门预算分配不固化，能根据实际情况合理调整（如不存在项目支出完成不理想但连年持续安排预算的情况等），得1分。</w:t>
            </w:r>
          </w:p>
        </w:tc>
        <w:tc>
          <w:tcPr>
            <w:tcW w:w="2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EFFFE">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lang w:eastAsia="zh-CN" w:bidi="ar"/>
              </w:rPr>
            </w:pPr>
            <w:r>
              <w:rPr>
                <w:rFonts w:hint="eastAsia" w:asciiTheme="minorEastAsia" w:hAnsiTheme="minorEastAsia" w:eastAsiaTheme="minorEastAsia" w:cstheme="minorEastAsia"/>
                <w:i w:val="0"/>
                <w:iCs w:val="0"/>
                <w:color w:val="auto"/>
                <w:kern w:val="0"/>
                <w:sz w:val="21"/>
                <w:szCs w:val="21"/>
                <w:highlight w:val="none"/>
                <w:lang w:eastAsia="zh-CN" w:bidi="ar"/>
              </w:rPr>
              <w:t>1.5</w:t>
            </w:r>
          </w:p>
        </w:tc>
        <w:tc>
          <w:tcPr>
            <w:tcW w:w="1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8D971D">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Theme="minorEastAsia" w:hAnsiTheme="minorEastAsia" w:eastAsiaTheme="minorEastAsia" w:cstheme="minorEastAsia"/>
                <w:i w:val="0"/>
                <w:iCs w:val="0"/>
                <w:color w:val="auto"/>
                <w:kern w:val="0"/>
                <w:sz w:val="21"/>
                <w:szCs w:val="21"/>
                <w:highlight w:val="none"/>
                <w:lang w:eastAsia="zh-CN" w:bidi="ar"/>
              </w:rPr>
            </w:pPr>
            <w:r>
              <w:rPr>
                <w:rFonts w:hint="eastAsia" w:asciiTheme="minorEastAsia" w:hAnsiTheme="minorEastAsia" w:eastAsiaTheme="minorEastAsia" w:cstheme="minorEastAsia"/>
                <w:i w:val="0"/>
                <w:iCs w:val="0"/>
                <w:color w:val="auto"/>
                <w:kern w:val="0"/>
                <w:sz w:val="21"/>
                <w:szCs w:val="21"/>
                <w:highlight w:val="none"/>
                <w:lang w:eastAsia="zh-CN" w:bidi="ar"/>
              </w:rPr>
              <w:t>年度决算与年初部门整体预算存在较大差异，但缺少调整的依据及相关调整手续。</w:t>
            </w:r>
          </w:p>
        </w:tc>
      </w:tr>
      <w:tr w14:paraId="29A10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94" w:hRule="atLeast"/>
          <w:jc w:val="center"/>
        </w:trPr>
        <w:tc>
          <w:tcPr>
            <w:tcW w:w="1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592330">
            <w:pPr>
              <w:spacing w:line="240" w:lineRule="auto"/>
              <w:jc w:val="center"/>
              <w:rPr>
                <w:rFonts w:hint="eastAsia" w:asciiTheme="minorEastAsia" w:hAnsiTheme="minorEastAsia" w:eastAsiaTheme="minorEastAsia" w:cstheme="minorEastAsia"/>
                <w:color w:val="auto"/>
                <w:sz w:val="21"/>
                <w:szCs w:val="21"/>
                <w:highlight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14603">
            <w:pPr>
              <w:spacing w:line="240" w:lineRule="auto"/>
              <w:jc w:val="center"/>
              <w:rPr>
                <w:rFonts w:hint="eastAsia" w:asciiTheme="minorEastAsia" w:hAnsiTheme="minorEastAsia" w:eastAsiaTheme="minorEastAsia" w:cstheme="minorEastAsia"/>
                <w:color w:val="auto"/>
                <w:sz w:val="21"/>
                <w:szCs w:val="21"/>
                <w:highlight w:val="none"/>
              </w:rPr>
            </w:pPr>
          </w:p>
        </w:tc>
        <w:tc>
          <w:tcPr>
            <w:tcW w:w="1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1AF1C">
            <w:pPr>
              <w:spacing w:line="240" w:lineRule="auto"/>
              <w:jc w:val="center"/>
              <w:rPr>
                <w:rFonts w:hint="eastAsia" w:asciiTheme="minorEastAsia" w:hAnsiTheme="minorEastAsia" w:eastAsiaTheme="minorEastAsia" w:cstheme="minorEastAsia"/>
                <w:color w:val="auto"/>
                <w:sz w:val="21"/>
                <w:szCs w:val="21"/>
                <w:highlight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9DD4A">
            <w:pPr>
              <w:spacing w:line="240" w:lineRule="auto"/>
              <w:jc w:val="center"/>
              <w:rPr>
                <w:rFonts w:hint="eastAsia" w:asciiTheme="minorEastAsia" w:hAnsiTheme="minorEastAsia" w:eastAsiaTheme="minorEastAsia" w:cstheme="minorEastAsia"/>
                <w:color w:val="auto"/>
                <w:sz w:val="21"/>
                <w:szCs w:val="21"/>
                <w:highlight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4EC60">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i w:val="0"/>
                <w:iCs w:val="0"/>
                <w:color w:val="auto"/>
                <w:kern w:val="0"/>
                <w:sz w:val="21"/>
                <w:szCs w:val="21"/>
                <w:highlight w:val="none"/>
                <w:lang w:val="en-US" w:eastAsia="zh-CN" w:bidi="ar"/>
              </w:rPr>
              <w:t>预算编制规范性</w:t>
            </w:r>
          </w:p>
        </w:tc>
        <w:tc>
          <w:tcPr>
            <w:tcW w:w="1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7295A">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i w:val="0"/>
                <w:iCs w:val="0"/>
                <w:color w:val="auto"/>
                <w:kern w:val="0"/>
                <w:sz w:val="21"/>
                <w:szCs w:val="21"/>
                <w:highlight w:val="none"/>
                <w:lang w:val="en-US" w:eastAsia="zh-CN" w:bidi="ar"/>
              </w:rPr>
              <w:t>3</w:t>
            </w:r>
          </w:p>
        </w:tc>
        <w:tc>
          <w:tcPr>
            <w:tcW w:w="8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6B8DA">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lang w:val="en-US" w:eastAsia="zh-CN" w:bidi="ar"/>
              </w:rPr>
              <w:t>考核部门预算编制是否符合区财政当年度有关预算编制的原则，例如在规范性和细致程度方面是否符合要求等。</w:t>
            </w:r>
          </w:p>
        </w:tc>
        <w:tc>
          <w:tcPr>
            <w:tcW w:w="16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20F53">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Theme="minorEastAsia" w:hAnsiTheme="minorEastAsia" w:eastAsiaTheme="minorEastAsia" w:cstheme="minorEastAsia"/>
                <w:i w:val="0"/>
                <w:iCs w:val="0"/>
                <w:color w:val="auto"/>
                <w:kern w:val="0"/>
                <w:sz w:val="21"/>
                <w:szCs w:val="21"/>
                <w:highlight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lang w:val="en-US" w:eastAsia="zh-CN" w:bidi="ar"/>
              </w:rPr>
              <w:t>1.符合区财政当年度有关预算编制的原则和要求的，符合项目资金预算编制和项目库管理要求的，得3分；</w:t>
            </w:r>
          </w:p>
          <w:p w14:paraId="2770F417">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lang w:val="en-US" w:eastAsia="zh-CN" w:bidi="ar"/>
              </w:rPr>
              <w:t>2.发现一项没有满足的扣1分，扣完为止。本指标应对照2022年度的区级预算编制文件和部门预算，根据实际情况评定。区级部门预算编制文件是指由区财政局印发的区级预算编制工作方案和年度区级部门预算编制工作通知，以及其他与部门预算编制相关的文件和制度。</w:t>
            </w:r>
          </w:p>
        </w:tc>
        <w:tc>
          <w:tcPr>
            <w:tcW w:w="2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752A8">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lang w:eastAsia="zh-CN" w:bidi="ar"/>
              </w:rPr>
            </w:pPr>
            <w:r>
              <w:rPr>
                <w:rFonts w:hint="eastAsia" w:asciiTheme="minorEastAsia" w:hAnsiTheme="minorEastAsia" w:eastAsiaTheme="minorEastAsia" w:cstheme="minorEastAsia"/>
                <w:i w:val="0"/>
                <w:iCs w:val="0"/>
                <w:color w:val="auto"/>
                <w:kern w:val="0"/>
                <w:sz w:val="21"/>
                <w:szCs w:val="21"/>
                <w:highlight w:val="none"/>
                <w:lang w:eastAsia="zh-CN" w:bidi="ar"/>
              </w:rPr>
              <w:t>1.5</w:t>
            </w:r>
          </w:p>
        </w:tc>
        <w:tc>
          <w:tcPr>
            <w:tcW w:w="1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47687">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Theme="minorEastAsia" w:hAnsiTheme="minorEastAsia" w:eastAsiaTheme="minorEastAsia" w:cstheme="minorEastAsia"/>
                <w:i w:val="0"/>
                <w:iCs w:val="0"/>
                <w:color w:val="auto"/>
                <w:kern w:val="0"/>
                <w:sz w:val="21"/>
                <w:szCs w:val="21"/>
                <w:highlight w:val="none"/>
                <w:lang w:eastAsia="zh-CN" w:bidi="ar"/>
              </w:rPr>
            </w:pPr>
            <w:r>
              <w:rPr>
                <w:rFonts w:hint="eastAsia" w:asciiTheme="minorEastAsia" w:hAnsiTheme="minorEastAsia" w:eastAsiaTheme="minorEastAsia" w:cstheme="minorEastAsia"/>
                <w:i w:val="0"/>
                <w:iCs w:val="0"/>
                <w:color w:val="auto"/>
                <w:kern w:val="0"/>
                <w:sz w:val="21"/>
                <w:szCs w:val="21"/>
                <w:highlight w:val="none"/>
                <w:lang w:eastAsia="zh-CN" w:bidi="ar"/>
              </w:rPr>
              <w:t>资金使用单位能按区财政要求制定整体预算，但规范性不足，其部分项目实施内容不清晰、无测算。</w:t>
            </w:r>
          </w:p>
        </w:tc>
      </w:tr>
      <w:tr w14:paraId="099CB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76D1F">
            <w:pPr>
              <w:spacing w:line="240" w:lineRule="auto"/>
              <w:jc w:val="center"/>
              <w:rPr>
                <w:rFonts w:hint="eastAsia" w:asciiTheme="minorEastAsia" w:hAnsiTheme="minorEastAsia" w:eastAsiaTheme="minorEastAsia" w:cstheme="minorEastAsia"/>
                <w:color w:val="auto"/>
                <w:sz w:val="21"/>
                <w:szCs w:val="21"/>
                <w:highlight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36FDC">
            <w:pPr>
              <w:spacing w:line="240" w:lineRule="auto"/>
              <w:jc w:val="center"/>
              <w:rPr>
                <w:rFonts w:hint="eastAsia" w:asciiTheme="minorEastAsia" w:hAnsiTheme="minorEastAsia" w:eastAsiaTheme="minorEastAsia" w:cstheme="minorEastAsia"/>
                <w:color w:val="auto"/>
                <w:sz w:val="21"/>
                <w:szCs w:val="21"/>
                <w:highlight w:val="none"/>
              </w:rPr>
            </w:pPr>
          </w:p>
        </w:tc>
        <w:tc>
          <w:tcPr>
            <w:tcW w:w="1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3C9FB2">
            <w:pPr>
              <w:spacing w:line="240" w:lineRule="auto"/>
              <w:jc w:val="center"/>
              <w:rPr>
                <w:rFonts w:hint="eastAsia" w:asciiTheme="minorEastAsia" w:hAnsiTheme="minorEastAsia" w:eastAsiaTheme="minorEastAsia" w:cstheme="minorEastAsia"/>
                <w:color w:val="auto"/>
                <w:sz w:val="21"/>
                <w:szCs w:val="21"/>
                <w:highlight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75974">
            <w:pPr>
              <w:spacing w:line="240" w:lineRule="auto"/>
              <w:jc w:val="center"/>
              <w:rPr>
                <w:rFonts w:hint="eastAsia" w:asciiTheme="minorEastAsia" w:hAnsiTheme="minorEastAsia" w:eastAsiaTheme="minorEastAsia" w:cstheme="minorEastAsia"/>
                <w:color w:val="auto"/>
                <w:sz w:val="21"/>
                <w:szCs w:val="21"/>
                <w:highlight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60065">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i w:val="0"/>
                <w:iCs w:val="0"/>
                <w:color w:val="auto"/>
                <w:kern w:val="0"/>
                <w:sz w:val="21"/>
                <w:szCs w:val="21"/>
                <w:highlight w:val="none"/>
                <w:lang w:val="en-US" w:eastAsia="zh-CN" w:bidi="ar"/>
              </w:rPr>
              <w:t>财政拨款收入预决算差异率</w:t>
            </w:r>
          </w:p>
        </w:tc>
        <w:tc>
          <w:tcPr>
            <w:tcW w:w="1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31EAE9">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i w:val="0"/>
                <w:iCs w:val="0"/>
                <w:color w:val="auto"/>
                <w:kern w:val="0"/>
                <w:sz w:val="21"/>
                <w:szCs w:val="21"/>
                <w:highlight w:val="none"/>
                <w:lang w:val="en-US" w:eastAsia="zh-CN" w:bidi="ar"/>
              </w:rPr>
              <w:t>4</w:t>
            </w:r>
          </w:p>
        </w:tc>
        <w:tc>
          <w:tcPr>
            <w:tcW w:w="8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7E7D5">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lang w:val="en-US" w:eastAsia="zh-CN" w:bidi="ar"/>
              </w:rPr>
              <w:t>反映部门收入预算编制的准确性。</w:t>
            </w:r>
          </w:p>
        </w:tc>
        <w:tc>
          <w:tcPr>
            <w:tcW w:w="16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321B2">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lang w:val="en-US" w:eastAsia="zh-CN" w:bidi="ar"/>
              </w:rPr>
              <w:t>财政拨款收入预决算差异率=（收入决算数-收入调整预算数）/收入调整预算数*100%（取绝对值）。差异率=0，本项指标得满分；每增加5%（含）扣减0.5分，直至扣完为止。</w:t>
            </w:r>
          </w:p>
        </w:tc>
        <w:tc>
          <w:tcPr>
            <w:tcW w:w="2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E4CFB6">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lang w:eastAsia="zh-CN" w:bidi="ar"/>
              </w:rPr>
            </w:pPr>
            <w:r>
              <w:rPr>
                <w:rFonts w:hint="eastAsia" w:asciiTheme="minorEastAsia" w:hAnsiTheme="minorEastAsia" w:eastAsiaTheme="minorEastAsia" w:cstheme="minorEastAsia"/>
                <w:i w:val="0"/>
                <w:iCs w:val="0"/>
                <w:color w:val="auto"/>
                <w:kern w:val="0"/>
                <w:sz w:val="21"/>
                <w:szCs w:val="21"/>
                <w:highlight w:val="none"/>
                <w:lang w:eastAsia="zh-CN" w:bidi="ar"/>
              </w:rPr>
              <w:t>4</w:t>
            </w:r>
          </w:p>
        </w:tc>
        <w:tc>
          <w:tcPr>
            <w:tcW w:w="1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86DD6">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Theme="minorEastAsia" w:hAnsiTheme="minorEastAsia" w:eastAsiaTheme="minorEastAsia" w:cstheme="minorEastAsia"/>
                <w:i w:val="0"/>
                <w:iCs w:val="0"/>
                <w:color w:val="auto"/>
                <w:kern w:val="0"/>
                <w:sz w:val="21"/>
                <w:szCs w:val="21"/>
                <w:highlight w:val="none"/>
                <w:lang w:eastAsia="zh-CN" w:bidi="ar"/>
              </w:rPr>
            </w:pPr>
            <w:r>
              <w:rPr>
                <w:rFonts w:hint="eastAsia" w:asciiTheme="minorEastAsia" w:hAnsiTheme="minorEastAsia" w:eastAsiaTheme="minorEastAsia" w:cstheme="minorEastAsia"/>
                <w:i w:val="0"/>
                <w:iCs w:val="0"/>
                <w:color w:val="auto"/>
                <w:kern w:val="0"/>
                <w:sz w:val="21"/>
                <w:szCs w:val="21"/>
                <w:highlight w:val="none"/>
                <w:lang w:eastAsia="zh-CN" w:bidi="ar"/>
              </w:rPr>
              <w:t>财政拨款收入预决算差异率=0</w:t>
            </w:r>
          </w:p>
        </w:tc>
      </w:tr>
      <w:tr w14:paraId="64E77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04C027">
            <w:pPr>
              <w:spacing w:line="240" w:lineRule="auto"/>
              <w:jc w:val="center"/>
              <w:rPr>
                <w:rFonts w:hint="eastAsia" w:asciiTheme="minorEastAsia" w:hAnsiTheme="minorEastAsia" w:eastAsiaTheme="minorEastAsia" w:cstheme="minorEastAsia"/>
                <w:color w:val="auto"/>
                <w:sz w:val="21"/>
                <w:szCs w:val="21"/>
                <w:highlight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C570D">
            <w:pPr>
              <w:spacing w:line="240" w:lineRule="auto"/>
              <w:jc w:val="center"/>
              <w:rPr>
                <w:rFonts w:hint="eastAsia" w:asciiTheme="minorEastAsia" w:hAnsiTheme="minorEastAsia" w:eastAsiaTheme="minorEastAsia" w:cstheme="minorEastAsia"/>
                <w:color w:val="auto"/>
                <w:sz w:val="21"/>
                <w:szCs w:val="21"/>
                <w:highlight w:val="none"/>
              </w:rPr>
            </w:pPr>
          </w:p>
        </w:tc>
        <w:tc>
          <w:tcPr>
            <w:tcW w:w="1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1078E">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i w:val="0"/>
                <w:iCs w:val="0"/>
                <w:color w:val="auto"/>
                <w:kern w:val="0"/>
                <w:sz w:val="21"/>
                <w:szCs w:val="21"/>
                <w:highlight w:val="none"/>
                <w:lang w:val="en-US" w:eastAsia="zh-CN" w:bidi="ar"/>
              </w:rPr>
              <w:t>目标设置</w:t>
            </w:r>
          </w:p>
        </w:tc>
        <w:tc>
          <w:tcPr>
            <w:tcW w:w="16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308352">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i w:val="0"/>
                <w:iCs w:val="0"/>
                <w:color w:val="auto"/>
                <w:kern w:val="0"/>
                <w:sz w:val="21"/>
                <w:szCs w:val="21"/>
                <w:highlight w:val="none"/>
                <w:lang w:val="en-US" w:eastAsia="zh-CN" w:bidi="ar"/>
              </w:rPr>
              <w:t>9</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35A40E">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i w:val="0"/>
                <w:iCs w:val="0"/>
                <w:color w:val="auto"/>
                <w:kern w:val="0"/>
                <w:sz w:val="21"/>
                <w:szCs w:val="21"/>
                <w:highlight w:val="none"/>
                <w:lang w:val="en-US" w:eastAsia="zh-CN" w:bidi="ar"/>
              </w:rPr>
              <w:t>绩效目标合理性</w:t>
            </w:r>
          </w:p>
        </w:tc>
        <w:tc>
          <w:tcPr>
            <w:tcW w:w="1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BB6427">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i w:val="0"/>
                <w:iCs w:val="0"/>
                <w:color w:val="auto"/>
                <w:kern w:val="0"/>
                <w:sz w:val="21"/>
                <w:szCs w:val="21"/>
                <w:highlight w:val="none"/>
                <w:lang w:val="en-US" w:eastAsia="zh-CN" w:bidi="ar"/>
              </w:rPr>
              <w:t>5</w:t>
            </w:r>
          </w:p>
        </w:tc>
        <w:tc>
          <w:tcPr>
            <w:tcW w:w="8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F08AC">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lang w:val="en-US" w:eastAsia="zh-CN" w:bidi="ar"/>
              </w:rPr>
              <w:t>部门所设立的整体绩效目标是否依据充分，是否符合客观实际，用以反映和评价部门整体设立的绩效目标与部门履职和年度工作任务的相符性。</w:t>
            </w:r>
          </w:p>
        </w:tc>
        <w:tc>
          <w:tcPr>
            <w:tcW w:w="16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8B336">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Theme="minorEastAsia" w:hAnsiTheme="minorEastAsia" w:eastAsiaTheme="minorEastAsia" w:cstheme="minorEastAsia"/>
                <w:i w:val="0"/>
                <w:iCs w:val="0"/>
                <w:color w:val="auto"/>
                <w:kern w:val="2"/>
                <w:sz w:val="21"/>
                <w:szCs w:val="21"/>
                <w:highlight w:val="none"/>
                <w:lang w:val="en-US" w:eastAsia="zh-CN" w:bidi="ar"/>
              </w:rPr>
            </w:pPr>
            <w:r>
              <w:rPr>
                <w:rFonts w:hint="eastAsia" w:asciiTheme="minorEastAsia" w:hAnsiTheme="minorEastAsia" w:eastAsiaTheme="minorEastAsia" w:cstheme="minorEastAsia"/>
                <w:i w:val="0"/>
                <w:iCs w:val="0"/>
                <w:color w:val="auto"/>
                <w:kern w:val="2"/>
                <w:sz w:val="21"/>
                <w:szCs w:val="21"/>
                <w:highlight w:val="none"/>
                <w:lang w:val="en-US" w:eastAsia="zh-CN" w:bidi="ar"/>
              </w:rPr>
              <w:t>1.整体绩效目标能体现部门“三定”方案规定的部门职能的，得1分；</w:t>
            </w:r>
          </w:p>
          <w:p w14:paraId="72D1E4E0">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Theme="minorEastAsia" w:hAnsiTheme="minorEastAsia" w:eastAsiaTheme="minorEastAsia" w:cstheme="minorEastAsia"/>
                <w:i w:val="0"/>
                <w:iCs w:val="0"/>
                <w:color w:val="auto"/>
                <w:kern w:val="2"/>
                <w:sz w:val="21"/>
                <w:szCs w:val="21"/>
                <w:highlight w:val="none"/>
                <w:lang w:val="en-US" w:eastAsia="zh-CN" w:bidi="ar"/>
              </w:rPr>
            </w:pPr>
            <w:r>
              <w:rPr>
                <w:rFonts w:hint="eastAsia" w:asciiTheme="minorEastAsia" w:hAnsiTheme="minorEastAsia" w:eastAsiaTheme="minorEastAsia" w:cstheme="minorEastAsia"/>
                <w:i w:val="0"/>
                <w:iCs w:val="0"/>
                <w:color w:val="auto"/>
                <w:kern w:val="2"/>
                <w:sz w:val="21"/>
                <w:szCs w:val="21"/>
                <w:highlight w:val="none"/>
                <w:lang w:val="en-US" w:eastAsia="zh-CN" w:bidi="ar"/>
              </w:rPr>
              <w:t>2.整体绩效目标能体现部门中长期规划和年度工作计划的，得1分；</w:t>
            </w:r>
          </w:p>
          <w:p w14:paraId="3AE2772A">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Theme="minorEastAsia" w:hAnsiTheme="minorEastAsia" w:eastAsiaTheme="minorEastAsia" w:cstheme="minorEastAsia"/>
                <w:i w:val="0"/>
                <w:iCs w:val="0"/>
                <w:color w:val="auto"/>
                <w:kern w:val="2"/>
                <w:sz w:val="21"/>
                <w:szCs w:val="21"/>
                <w:highlight w:val="none"/>
                <w:lang w:val="en-US" w:eastAsia="zh-CN" w:bidi="ar"/>
              </w:rPr>
            </w:pPr>
            <w:r>
              <w:rPr>
                <w:rFonts w:hint="eastAsia" w:asciiTheme="minorEastAsia" w:hAnsiTheme="minorEastAsia" w:eastAsiaTheme="minorEastAsia" w:cstheme="minorEastAsia"/>
                <w:i w:val="0"/>
                <w:iCs w:val="0"/>
                <w:color w:val="auto"/>
                <w:kern w:val="2"/>
                <w:sz w:val="21"/>
                <w:szCs w:val="21"/>
                <w:highlight w:val="none"/>
                <w:lang w:val="en-US" w:eastAsia="zh-CN" w:bidi="ar"/>
              </w:rPr>
              <w:t>3.总体绩效目标能分解成具体工作任务的，得1分；</w:t>
            </w:r>
          </w:p>
          <w:p w14:paraId="5F087A34">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Theme="minorEastAsia" w:hAnsiTheme="minorEastAsia" w:eastAsiaTheme="minorEastAsia" w:cstheme="minorEastAsia"/>
                <w:i w:val="0"/>
                <w:iCs w:val="0"/>
                <w:color w:val="auto"/>
                <w:kern w:val="2"/>
                <w:sz w:val="21"/>
                <w:szCs w:val="21"/>
                <w:highlight w:val="none"/>
                <w:lang w:val="en-US" w:eastAsia="zh-CN" w:bidi="ar"/>
              </w:rPr>
            </w:pPr>
            <w:r>
              <w:rPr>
                <w:rFonts w:hint="eastAsia" w:asciiTheme="minorEastAsia" w:hAnsiTheme="minorEastAsia" w:eastAsiaTheme="minorEastAsia" w:cstheme="minorEastAsia"/>
                <w:i w:val="0"/>
                <w:iCs w:val="0"/>
                <w:color w:val="auto"/>
                <w:kern w:val="2"/>
                <w:sz w:val="21"/>
                <w:szCs w:val="21"/>
                <w:highlight w:val="none"/>
                <w:lang w:val="en-US" w:eastAsia="zh-CN" w:bidi="ar"/>
              </w:rPr>
              <w:t>4.整体绩效目标与本年度部门预算资金相匹配的，得1分；</w:t>
            </w:r>
          </w:p>
          <w:p w14:paraId="74600B22">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Theme="minorEastAsia" w:hAnsiTheme="minorEastAsia" w:eastAsiaTheme="minorEastAsia" w:cstheme="minorEastAsia"/>
                <w:i w:val="0"/>
                <w:iCs w:val="0"/>
                <w:color w:val="auto"/>
                <w:kern w:val="0"/>
                <w:sz w:val="21"/>
                <w:szCs w:val="21"/>
                <w:highlight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lang w:val="en-US" w:eastAsia="zh-CN" w:bidi="ar"/>
              </w:rPr>
              <w:t>5.部门申报的项目有进行可行性研究和充分论证的，得1分。</w:t>
            </w:r>
          </w:p>
          <w:p w14:paraId="029C50E9">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lang w:val="en-US" w:eastAsia="zh-CN" w:bidi="ar"/>
              </w:rPr>
              <w:t>对上述5项标准，未完全符合的，酌情扣分；以上需提供整个部门的资料，未完整提供的酌情扣分。</w:t>
            </w:r>
          </w:p>
        </w:tc>
        <w:tc>
          <w:tcPr>
            <w:tcW w:w="2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10E60">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lang w:eastAsia="zh-CN" w:bidi="ar"/>
              </w:rPr>
            </w:pPr>
            <w:r>
              <w:rPr>
                <w:rFonts w:hint="eastAsia" w:asciiTheme="minorEastAsia" w:hAnsiTheme="minorEastAsia" w:eastAsiaTheme="minorEastAsia" w:cstheme="minorEastAsia"/>
                <w:i w:val="0"/>
                <w:iCs w:val="0"/>
                <w:color w:val="auto"/>
                <w:kern w:val="0"/>
                <w:sz w:val="21"/>
                <w:szCs w:val="21"/>
                <w:highlight w:val="none"/>
                <w:lang w:eastAsia="zh-CN" w:bidi="ar"/>
              </w:rPr>
              <w:t>3</w:t>
            </w:r>
          </w:p>
        </w:tc>
        <w:tc>
          <w:tcPr>
            <w:tcW w:w="1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6FD7D">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Theme="minorEastAsia" w:hAnsiTheme="minorEastAsia" w:eastAsiaTheme="minorEastAsia" w:cstheme="minorEastAsia"/>
                <w:i w:val="0"/>
                <w:iCs w:val="0"/>
                <w:color w:val="auto"/>
                <w:kern w:val="0"/>
                <w:sz w:val="21"/>
                <w:szCs w:val="21"/>
                <w:highlight w:val="none"/>
                <w:lang w:eastAsia="zh-CN" w:bidi="ar"/>
              </w:rPr>
            </w:pPr>
            <w:r>
              <w:rPr>
                <w:rFonts w:hint="eastAsia" w:asciiTheme="minorEastAsia" w:hAnsiTheme="minorEastAsia" w:eastAsiaTheme="minorEastAsia" w:cstheme="minorEastAsia"/>
                <w:i w:val="0"/>
                <w:iCs w:val="0"/>
                <w:color w:val="auto"/>
                <w:kern w:val="0"/>
                <w:sz w:val="21"/>
                <w:szCs w:val="21"/>
                <w:highlight w:val="none"/>
                <w:lang w:eastAsia="zh-CN" w:bidi="ar"/>
              </w:rPr>
              <w:t>绩效目标与部门职能一致，但目标未能体现年度工作计划、重点项目的考核，且分解性较差，重点项目立项论证不充分</w:t>
            </w:r>
          </w:p>
        </w:tc>
      </w:tr>
      <w:tr w14:paraId="011D7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7141DB">
            <w:pPr>
              <w:spacing w:line="240" w:lineRule="auto"/>
              <w:jc w:val="center"/>
              <w:rPr>
                <w:rFonts w:hint="eastAsia" w:asciiTheme="minorEastAsia" w:hAnsiTheme="minorEastAsia" w:eastAsiaTheme="minorEastAsia" w:cstheme="minorEastAsia"/>
                <w:color w:val="auto"/>
                <w:sz w:val="21"/>
                <w:szCs w:val="21"/>
                <w:highlight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EF0B3">
            <w:pPr>
              <w:spacing w:line="240" w:lineRule="auto"/>
              <w:jc w:val="center"/>
              <w:rPr>
                <w:rFonts w:hint="eastAsia" w:asciiTheme="minorEastAsia" w:hAnsiTheme="minorEastAsia" w:eastAsiaTheme="minorEastAsia" w:cstheme="minorEastAsia"/>
                <w:color w:val="auto"/>
                <w:sz w:val="21"/>
                <w:szCs w:val="21"/>
                <w:highlight w:val="none"/>
              </w:rPr>
            </w:pPr>
          </w:p>
        </w:tc>
        <w:tc>
          <w:tcPr>
            <w:tcW w:w="1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D5D19D">
            <w:pPr>
              <w:spacing w:line="240" w:lineRule="auto"/>
              <w:jc w:val="center"/>
              <w:rPr>
                <w:rFonts w:hint="eastAsia" w:asciiTheme="minorEastAsia" w:hAnsiTheme="minorEastAsia" w:eastAsiaTheme="minorEastAsia" w:cstheme="minorEastAsia"/>
                <w:color w:val="auto"/>
                <w:sz w:val="21"/>
                <w:szCs w:val="21"/>
                <w:highlight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A32B96">
            <w:pPr>
              <w:spacing w:line="240" w:lineRule="auto"/>
              <w:jc w:val="center"/>
              <w:rPr>
                <w:rFonts w:hint="eastAsia" w:asciiTheme="minorEastAsia" w:hAnsiTheme="minorEastAsia" w:eastAsiaTheme="minorEastAsia" w:cstheme="minorEastAsia"/>
                <w:color w:val="auto"/>
                <w:sz w:val="21"/>
                <w:szCs w:val="21"/>
                <w:highlight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8E66B">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i w:val="0"/>
                <w:iCs w:val="0"/>
                <w:color w:val="auto"/>
                <w:kern w:val="0"/>
                <w:sz w:val="21"/>
                <w:szCs w:val="21"/>
                <w:highlight w:val="none"/>
                <w:lang w:val="en-US" w:eastAsia="zh-CN" w:bidi="ar"/>
              </w:rPr>
              <w:t>绩效指标明确性</w:t>
            </w:r>
          </w:p>
        </w:tc>
        <w:tc>
          <w:tcPr>
            <w:tcW w:w="1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D4387">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i w:val="0"/>
                <w:iCs w:val="0"/>
                <w:color w:val="auto"/>
                <w:kern w:val="0"/>
                <w:sz w:val="21"/>
                <w:szCs w:val="21"/>
                <w:highlight w:val="none"/>
                <w:lang w:val="en-US" w:eastAsia="zh-CN" w:bidi="ar"/>
              </w:rPr>
              <w:t>4</w:t>
            </w:r>
          </w:p>
        </w:tc>
        <w:tc>
          <w:tcPr>
            <w:tcW w:w="8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3CE49">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lang w:val="en-US" w:eastAsia="zh-CN" w:bidi="ar"/>
              </w:rPr>
              <w:t>部门依据整体绩效目标所设定的绩效指标是否清晰、细化、可量化，用以反映和考核部门整体绩效目标的明细化情况。</w:t>
            </w:r>
          </w:p>
        </w:tc>
        <w:tc>
          <w:tcPr>
            <w:tcW w:w="16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7CDDC">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Theme="minorEastAsia" w:hAnsiTheme="minorEastAsia" w:eastAsiaTheme="minorEastAsia" w:cstheme="minorEastAsia"/>
                <w:i w:val="0"/>
                <w:iCs w:val="0"/>
                <w:color w:val="auto"/>
                <w:kern w:val="0"/>
                <w:sz w:val="21"/>
                <w:szCs w:val="21"/>
                <w:highlight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lang w:val="en-US" w:eastAsia="zh-CN" w:bidi="ar"/>
              </w:rPr>
              <w:t>1.绩效指标中包含能够明确体现部门履职效果的社会经济效益指标的，得1分；</w:t>
            </w:r>
          </w:p>
          <w:p w14:paraId="78499D9F">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Theme="minorEastAsia" w:hAnsiTheme="minorEastAsia" w:eastAsiaTheme="minorEastAsia" w:cstheme="minorEastAsia"/>
                <w:i w:val="0"/>
                <w:iCs w:val="0"/>
                <w:color w:val="auto"/>
                <w:kern w:val="0"/>
                <w:sz w:val="21"/>
                <w:szCs w:val="21"/>
                <w:highlight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lang w:val="en-US" w:eastAsia="zh-CN" w:bidi="ar"/>
              </w:rPr>
              <w:t>2.绩效指标具有清晰、可衡量的指标值的，得1分；</w:t>
            </w:r>
          </w:p>
          <w:p w14:paraId="0C57C26D">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Theme="minorEastAsia" w:hAnsiTheme="minorEastAsia" w:eastAsiaTheme="minorEastAsia" w:cstheme="minorEastAsia"/>
                <w:i w:val="0"/>
                <w:iCs w:val="0"/>
                <w:color w:val="auto"/>
                <w:kern w:val="0"/>
                <w:sz w:val="21"/>
                <w:szCs w:val="21"/>
                <w:highlight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lang w:val="en-US" w:eastAsia="zh-CN" w:bidi="ar"/>
              </w:rPr>
              <w:t>3.绩效指标包含可量化的指标的，得1分；完全无可量化的指标的，不得分；</w:t>
            </w:r>
          </w:p>
          <w:p w14:paraId="1604E99F">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Theme="minorEastAsia" w:hAnsiTheme="minorEastAsia" w:eastAsiaTheme="minorEastAsia" w:cstheme="minorEastAsia"/>
                <w:i w:val="0"/>
                <w:iCs w:val="0"/>
                <w:color w:val="auto"/>
                <w:kern w:val="0"/>
                <w:sz w:val="21"/>
                <w:szCs w:val="21"/>
                <w:highlight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lang w:val="en-US" w:eastAsia="zh-CN" w:bidi="ar"/>
              </w:rPr>
              <w:t>4.绩效目标的目标值测算能提供相关依据或符合客观实际情况的，得1分。</w:t>
            </w:r>
          </w:p>
          <w:p w14:paraId="0333899D">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lang w:val="en-US" w:eastAsia="zh-CN" w:bidi="ar"/>
              </w:rPr>
              <w:t>对上述4项标准，没有完全符合的酌情扣分。</w:t>
            </w:r>
          </w:p>
        </w:tc>
        <w:tc>
          <w:tcPr>
            <w:tcW w:w="2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72A770">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lang w:eastAsia="zh-CN" w:bidi="ar"/>
              </w:rPr>
            </w:pPr>
            <w:r>
              <w:rPr>
                <w:rFonts w:hint="eastAsia" w:asciiTheme="minorEastAsia" w:hAnsiTheme="minorEastAsia" w:eastAsiaTheme="minorEastAsia" w:cstheme="minorEastAsia"/>
                <w:i w:val="0"/>
                <w:iCs w:val="0"/>
                <w:color w:val="auto"/>
                <w:kern w:val="0"/>
                <w:sz w:val="21"/>
                <w:szCs w:val="21"/>
                <w:highlight w:val="none"/>
                <w:lang w:eastAsia="zh-CN" w:bidi="ar"/>
              </w:rPr>
              <w:t>2</w:t>
            </w:r>
          </w:p>
        </w:tc>
        <w:tc>
          <w:tcPr>
            <w:tcW w:w="1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F3CCA">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Theme="minorEastAsia" w:hAnsiTheme="minorEastAsia" w:eastAsiaTheme="minorEastAsia" w:cstheme="minorEastAsia"/>
                <w:i w:val="0"/>
                <w:iCs w:val="0"/>
                <w:color w:val="auto"/>
                <w:kern w:val="0"/>
                <w:sz w:val="21"/>
                <w:szCs w:val="21"/>
                <w:highlight w:val="none"/>
                <w:lang w:eastAsia="zh-CN" w:bidi="ar"/>
              </w:rPr>
            </w:pPr>
            <w:r>
              <w:rPr>
                <w:rFonts w:hint="eastAsia" w:asciiTheme="minorEastAsia" w:hAnsiTheme="minorEastAsia" w:eastAsiaTheme="minorEastAsia" w:cstheme="minorEastAsia"/>
                <w:i w:val="0"/>
                <w:iCs w:val="0"/>
                <w:color w:val="auto"/>
                <w:kern w:val="0"/>
                <w:sz w:val="21"/>
                <w:szCs w:val="21"/>
                <w:highlight w:val="none"/>
                <w:lang w:eastAsia="zh-CN" w:bidi="ar"/>
              </w:rPr>
              <w:t>指标未能较好体现部门职能及重点项目，设置粗简，可衡量性差。</w:t>
            </w:r>
          </w:p>
        </w:tc>
      </w:tr>
      <w:tr w14:paraId="2D0FA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0" w:hRule="atLeast"/>
          <w:jc w:val="center"/>
        </w:trPr>
        <w:tc>
          <w:tcPr>
            <w:tcW w:w="1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17926">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i w:val="0"/>
                <w:iCs w:val="0"/>
                <w:color w:val="auto"/>
                <w:kern w:val="0"/>
                <w:sz w:val="21"/>
                <w:szCs w:val="21"/>
                <w:highlight w:val="none"/>
                <w:lang w:val="en-US" w:eastAsia="zh-CN" w:bidi="ar"/>
              </w:rPr>
            </w:pPr>
          </w:p>
          <w:p w14:paraId="7C3045A1">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i w:val="0"/>
                <w:iCs w:val="0"/>
                <w:color w:val="auto"/>
                <w:kern w:val="0"/>
                <w:sz w:val="21"/>
                <w:szCs w:val="21"/>
                <w:highlight w:val="none"/>
                <w:lang w:val="en-US" w:eastAsia="zh-CN" w:bidi="ar"/>
              </w:rPr>
            </w:pPr>
          </w:p>
          <w:p w14:paraId="7E70785D">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i w:val="0"/>
                <w:iCs w:val="0"/>
                <w:color w:val="auto"/>
                <w:kern w:val="0"/>
                <w:sz w:val="21"/>
                <w:szCs w:val="21"/>
                <w:highlight w:val="none"/>
                <w:lang w:val="en-US" w:eastAsia="zh-CN" w:bidi="ar"/>
              </w:rPr>
            </w:pPr>
          </w:p>
          <w:p w14:paraId="158274B4">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i w:val="0"/>
                <w:iCs w:val="0"/>
                <w:color w:val="auto"/>
                <w:kern w:val="0"/>
                <w:sz w:val="21"/>
                <w:szCs w:val="21"/>
                <w:highlight w:val="none"/>
                <w:lang w:val="en-US" w:eastAsia="zh-CN" w:bidi="ar"/>
              </w:rPr>
            </w:pPr>
          </w:p>
          <w:p w14:paraId="0CD22D50">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i w:val="0"/>
                <w:iCs w:val="0"/>
                <w:color w:val="auto"/>
                <w:kern w:val="0"/>
                <w:sz w:val="21"/>
                <w:szCs w:val="21"/>
                <w:highlight w:val="none"/>
                <w:lang w:val="en-US" w:eastAsia="zh-CN" w:bidi="ar"/>
              </w:rPr>
            </w:pPr>
          </w:p>
          <w:p w14:paraId="76D52FDD">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i w:val="0"/>
                <w:iCs w:val="0"/>
                <w:color w:val="auto"/>
                <w:kern w:val="0"/>
                <w:sz w:val="21"/>
                <w:szCs w:val="21"/>
                <w:highlight w:val="none"/>
                <w:lang w:val="en-US" w:eastAsia="zh-CN" w:bidi="ar"/>
              </w:rPr>
            </w:pPr>
          </w:p>
          <w:p w14:paraId="3BDCBEE2">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i w:val="0"/>
                <w:iCs w:val="0"/>
                <w:color w:val="auto"/>
                <w:kern w:val="0"/>
                <w:sz w:val="21"/>
                <w:szCs w:val="21"/>
                <w:highlight w:val="none"/>
                <w:lang w:val="en-US" w:eastAsia="zh-CN" w:bidi="ar"/>
              </w:rPr>
            </w:pPr>
          </w:p>
          <w:p w14:paraId="2ED7AC53">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i w:val="0"/>
                <w:iCs w:val="0"/>
                <w:color w:val="auto"/>
                <w:kern w:val="0"/>
                <w:sz w:val="21"/>
                <w:szCs w:val="21"/>
                <w:highlight w:val="none"/>
                <w:lang w:val="en-US" w:eastAsia="zh-CN" w:bidi="ar"/>
              </w:rPr>
            </w:pPr>
          </w:p>
          <w:p w14:paraId="7E4F0D13">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i w:val="0"/>
                <w:iCs w:val="0"/>
                <w:color w:val="auto"/>
                <w:kern w:val="0"/>
                <w:sz w:val="21"/>
                <w:szCs w:val="21"/>
                <w:highlight w:val="none"/>
                <w:lang w:val="en-US" w:eastAsia="zh-CN" w:bidi="ar"/>
              </w:rPr>
            </w:pPr>
          </w:p>
          <w:p w14:paraId="1D9D9503">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i w:val="0"/>
                <w:iCs w:val="0"/>
                <w:color w:val="auto"/>
                <w:kern w:val="0"/>
                <w:sz w:val="21"/>
                <w:szCs w:val="21"/>
                <w:highlight w:val="none"/>
                <w:lang w:val="en-US" w:eastAsia="zh-CN" w:bidi="ar"/>
              </w:rPr>
            </w:pPr>
          </w:p>
          <w:p w14:paraId="47D8F647">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i w:val="0"/>
                <w:iCs w:val="0"/>
                <w:color w:val="auto"/>
                <w:kern w:val="0"/>
                <w:sz w:val="21"/>
                <w:szCs w:val="21"/>
                <w:highlight w:val="none"/>
                <w:lang w:val="en-US" w:eastAsia="zh-CN" w:bidi="ar"/>
              </w:rPr>
            </w:pPr>
          </w:p>
          <w:p w14:paraId="1B834713">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i w:val="0"/>
                <w:iCs w:val="0"/>
                <w:color w:val="auto"/>
                <w:kern w:val="0"/>
                <w:sz w:val="21"/>
                <w:szCs w:val="21"/>
                <w:highlight w:val="none"/>
                <w:lang w:val="en-US" w:eastAsia="zh-CN" w:bidi="ar"/>
              </w:rPr>
            </w:pPr>
          </w:p>
          <w:p w14:paraId="740879AB">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i w:val="0"/>
                <w:iCs w:val="0"/>
                <w:color w:val="auto"/>
                <w:kern w:val="0"/>
                <w:sz w:val="21"/>
                <w:szCs w:val="21"/>
                <w:highlight w:val="none"/>
                <w:lang w:val="en-US" w:eastAsia="zh-CN" w:bidi="ar"/>
              </w:rPr>
            </w:pPr>
          </w:p>
          <w:p w14:paraId="3A4C58BD">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i w:val="0"/>
                <w:iCs w:val="0"/>
                <w:color w:val="auto"/>
                <w:kern w:val="0"/>
                <w:sz w:val="21"/>
                <w:szCs w:val="21"/>
                <w:highlight w:val="none"/>
                <w:lang w:val="en-US" w:eastAsia="zh-CN" w:bidi="ar"/>
              </w:rPr>
            </w:pPr>
          </w:p>
          <w:p w14:paraId="14F5D885">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i w:val="0"/>
                <w:iCs w:val="0"/>
                <w:color w:val="auto"/>
                <w:kern w:val="0"/>
                <w:sz w:val="21"/>
                <w:szCs w:val="21"/>
                <w:highlight w:val="none"/>
                <w:lang w:val="en-US" w:eastAsia="zh-CN" w:bidi="ar"/>
              </w:rPr>
            </w:pPr>
          </w:p>
          <w:p w14:paraId="5C019D0E">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i w:val="0"/>
                <w:iCs w:val="0"/>
                <w:color w:val="auto"/>
                <w:kern w:val="0"/>
                <w:sz w:val="21"/>
                <w:szCs w:val="21"/>
                <w:highlight w:val="none"/>
                <w:lang w:val="en-US" w:eastAsia="zh-CN" w:bidi="ar"/>
              </w:rPr>
            </w:pPr>
          </w:p>
          <w:p w14:paraId="53EBDA8B">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i w:val="0"/>
                <w:iCs w:val="0"/>
                <w:color w:val="auto"/>
                <w:kern w:val="0"/>
                <w:sz w:val="21"/>
                <w:szCs w:val="21"/>
                <w:highlight w:val="none"/>
                <w:lang w:val="en-US" w:eastAsia="zh-CN" w:bidi="ar"/>
              </w:rPr>
            </w:pPr>
          </w:p>
          <w:p w14:paraId="71560FDE">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i w:val="0"/>
                <w:iCs w:val="0"/>
                <w:color w:val="auto"/>
                <w:kern w:val="0"/>
                <w:sz w:val="21"/>
                <w:szCs w:val="21"/>
                <w:highlight w:val="none"/>
                <w:lang w:val="en-US" w:eastAsia="zh-CN" w:bidi="ar"/>
              </w:rPr>
            </w:pPr>
          </w:p>
          <w:p w14:paraId="1B8952D9">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i w:val="0"/>
                <w:iCs w:val="0"/>
                <w:color w:val="auto"/>
                <w:kern w:val="0"/>
                <w:sz w:val="21"/>
                <w:szCs w:val="21"/>
                <w:highlight w:val="none"/>
                <w:lang w:val="en-US" w:eastAsia="zh-CN" w:bidi="ar"/>
              </w:rPr>
            </w:pPr>
          </w:p>
          <w:p w14:paraId="0A5C5AC9">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i w:val="0"/>
                <w:iCs w:val="0"/>
                <w:color w:val="auto"/>
                <w:kern w:val="0"/>
                <w:sz w:val="21"/>
                <w:szCs w:val="21"/>
                <w:highlight w:val="none"/>
                <w:lang w:val="en-US" w:eastAsia="zh-CN" w:bidi="ar"/>
              </w:rPr>
              <w:t>预算执行情况</w:t>
            </w: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ECBAF">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i w:val="0"/>
                <w:iCs w:val="0"/>
                <w:color w:val="auto"/>
                <w:kern w:val="0"/>
                <w:sz w:val="21"/>
                <w:szCs w:val="21"/>
                <w:highlight w:val="none"/>
                <w:lang w:val="en-US" w:eastAsia="zh-CN" w:bidi="ar"/>
              </w:rPr>
            </w:pPr>
          </w:p>
          <w:p w14:paraId="2E8261AA">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i w:val="0"/>
                <w:iCs w:val="0"/>
                <w:color w:val="auto"/>
                <w:kern w:val="0"/>
                <w:sz w:val="21"/>
                <w:szCs w:val="21"/>
                <w:highlight w:val="none"/>
                <w:lang w:val="en-US" w:eastAsia="zh-CN" w:bidi="ar"/>
              </w:rPr>
            </w:pPr>
          </w:p>
          <w:p w14:paraId="49485733">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i w:val="0"/>
                <w:iCs w:val="0"/>
                <w:color w:val="auto"/>
                <w:kern w:val="0"/>
                <w:sz w:val="21"/>
                <w:szCs w:val="21"/>
                <w:highlight w:val="none"/>
                <w:lang w:val="en-US" w:eastAsia="zh-CN" w:bidi="ar"/>
              </w:rPr>
            </w:pPr>
          </w:p>
          <w:p w14:paraId="1FFC7C43">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i w:val="0"/>
                <w:iCs w:val="0"/>
                <w:color w:val="auto"/>
                <w:kern w:val="0"/>
                <w:sz w:val="21"/>
                <w:szCs w:val="21"/>
                <w:highlight w:val="none"/>
                <w:lang w:val="en-US" w:eastAsia="zh-CN" w:bidi="ar"/>
              </w:rPr>
            </w:pPr>
          </w:p>
          <w:p w14:paraId="3DBEA0E6">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i w:val="0"/>
                <w:iCs w:val="0"/>
                <w:color w:val="auto"/>
                <w:kern w:val="0"/>
                <w:sz w:val="21"/>
                <w:szCs w:val="21"/>
                <w:highlight w:val="none"/>
                <w:lang w:val="en-US" w:eastAsia="zh-CN" w:bidi="ar"/>
              </w:rPr>
            </w:pPr>
          </w:p>
          <w:p w14:paraId="5C990F9D">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i w:val="0"/>
                <w:iCs w:val="0"/>
                <w:color w:val="auto"/>
                <w:kern w:val="0"/>
                <w:sz w:val="21"/>
                <w:szCs w:val="21"/>
                <w:highlight w:val="none"/>
                <w:lang w:val="en-US" w:eastAsia="zh-CN" w:bidi="ar"/>
              </w:rPr>
            </w:pPr>
          </w:p>
          <w:p w14:paraId="48080DB0">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i w:val="0"/>
                <w:iCs w:val="0"/>
                <w:color w:val="auto"/>
                <w:kern w:val="0"/>
                <w:sz w:val="21"/>
                <w:szCs w:val="21"/>
                <w:highlight w:val="none"/>
                <w:lang w:val="en-US" w:eastAsia="zh-CN" w:bidi="ar"/>
              </w:rPr>
            </w:pPr>
          </w:p>
          <w:p w14:paraId="1D8415C7">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i w:val="0"/>
                <w:iCs w:val="0"/>
                <w:color w:val="auto"/>
                <w:kern w:val="0"/>
                <w:sz w:val="21"/>
                <w:szCs w:val="21"/>
                <w:highlight w:val="none"/>
                <w:lang w:val="en-US" w:eastAsia="zh-CN" w:bidi="ar"/>
              </w:rPr>
            </w:pPr>
          </w:p>
          <w:p w14:paraId="675C9B68">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i w:val="0"/>
                <w:iCs w:val="0"/>
                <w:color w:val="auto"/>
                <w:kern w:val="0"/>
                <w:sz w:val="21"/>
                <w:szCs w:val="21"/>
                <w:highlight w:val="none"/>
                <w:lang w:val="en-US" w:eastAsia="zh-CN" w:bidi="ar"/>
              </w:rPr>
            </w:pPr>
          </w:p>
          <w:p w14:paraId="6029D3F6">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i w:val="0"/>
                <w:iCs w:val="0"/>
                <w:color w:val="auto"/>
                <w:kern w:val="0"/>
                <w:sz w:val="21"/>
                <w:szCs w:val="21"/>
                <w:highlight w:val="none"/>
                <w:lang w:val="en-US" w:eastAsia="zh-CN" w:bidi="ar"/>
              </w:rPr>
            </w:pPr>
          </w:p>
          <w:p w14:paraId="78E6D5A8">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i w:val="0"/>
                <w:iCs w:val="0"/>
                <w:color w:val="auto"/>
                <w:kern w:val="0"/>
                <w:sz w:val="21"/>
                <w:szCs w:val="21"/>
                <w:highlight w:val="none"/>
                <w:lang w:val="en-US" w:eastAsia="zh-CN" w:bidi="ar"/>
              </w:rPr>
            </w:pPr>
          </w:p>
          <w:p w14:paraId="47698FFC">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i w:val="0"/>
                <w:iCs w:val="0"/>
                <w:color w:val="auto"/>
                <w:kern w:val="0"/>
                <w:sz w:val="21"/>
                <w:szCs w:val="21"/>
                <w:highlight w:val="none"/>
                <w:lang w:val="en-US" w:eastAsia="zh-CN" w:bidi="ar"/>
              </w:rPr>
            </w:pPr>
          </w:p>
          <w:p w14:paraId="1EEC9D2D">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i w:val="0"/>
                <w:iCs w:val="0"/>
                <w:color w:val="auto"/>
                <w:kern w:val="0"/>
                <w:sz w:val="21"/>
                <w:szCs w:val="21"/>
                <w:highlight w:val="none"/>
                <w:lang w:val="en-US" w:eastAsia="zh-CN" w:bidi="ar"/>
              </w:rPr>
            </w:pPr>
          </w:p>
          <w:p w14:paraId="7CFBD4E5">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i w:val="0"/>
                <w:iCs w:val="0"/>
                <w:color w:val="auto"/>
                <w:kern w:val="0"/>
                <w:sz w:val="21"/>
                <w:szCs w:val="21"/>
                <w:highlight w:val="none"/>
                <w:lang w:val="en-US" w:eastAsia="zh-CN" w:bidi="ar"/>
              </w:rPr>
            </w:pPr>
          </w:p>
          <w:p w14:paraId="28BB66CB">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i w:val="0"/>
                <w:iCs w:val="0"/>
                <w:color w:val="auto"/>
                <w:kern w:val="0"/>
                <w:sz w:val="21"/>
                <w:szCs w:val="21"/>
                <w:highlight w:val="none"/>
                <w:lang w:val="en-US" w:eastAsia="zh-CN" w:bidi="ar"/>
              </w:rPr>
            </w:pPr>
          </w:p>
          <w:p w14:paraId="6182E051">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i w:val="0"/>
                <w:iCs w:val="0"/>
                <w:color w:val="auto"/>
                <w:kern w:val="0"/>
                <w:sz w:val="21"/>
                <w:szCs w:val="21"/>
                <w:highlight w:val="none"/>
                <w:lang w:val="en-US" w:eastAsia="zh-CN" w:bidi="ar"/>
              </w:rPr>
            </w:pPr>
          </w:p>
          <w:p w14:paraId="0D82A42F">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i w:val="0"/>
                <w:iCs w:val="0"/>
                <w:color w:val="auto"/>
                <w:kern w:val="0"/>
                <w:sz w:val="21"/>
                <w:szCs w:val="21"/>
                <w:highlight w:val="none"/>
                <w:lang w:val="en-US" w:eastAsia="zh-CN" w:bidi="ar"/>
              </w:rPr>
            </w:pPr>
          </w:p>
          <w:p w14:paraId="3854F41F">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i w:val="0"/>
                <w:iCs w:val="0"/>
                <w:color w:val="auto"/>
                <w:kern w:val="0"/>
                <w:sz w:val="21"/>
                <w:szCs w:val="21"/>
                <w:highlight w:val="none"/>
                <w:lang w:val="en-US" w:eastAsia="zh-CN" w:bidi="ar"/>
              </w:rPr>
            </w:pPr>
          </w:p>
          <w:p w14:paraId="2160107B">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i w:val="0"/>
                <w:iCs w:val="0"/>
                <w:color w:val="auto"/>
                <w:kern w:val="0"/>
                <w:sz w:val="21"/>
                <w:szCs w:val="21"/>
                <w:highlight w:val="none"/>
                <w:lang w:val="en-US" w:eastAsia="zh-CN" w:bidi="ar"/>
              </w:rPr>
            </w:pPr>
          </w:p>
          <w:p w14:paraId="37FC917C">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i w:val="0"/>
                <w:iCs w:val="0"/>
                <w:color w:val="auto"/>
                <w:kern w:val="0"/>
                <w:sz w:val="21"/>
                <w:szCs w:val="21"/>
                <w:highlight w:val="none"/>
                <w:lang w:val="en-US" w:eastAsia="zh-CN" w:bidi="ar"/>
              </w:rPr>
            </w:pPr>
          </w:p>
          <w:p w14:paraId="0775A309">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i w:val="0"/>
                <w:iCs w:val="0"/>
                <w:color w:val="auto"/>
                <w:kern w:val="0"/>
                <w:sz w:val="21"/>
                <w:szCs w:val="21"/>
                <w:highlight w:val="none"/>
                <w:lang w:val="en-US" w:eastAsia="zh-CN" w:bidi="ar"/>
              </w:rPr>
              <w:t>55</w:t>
            </w:r>
          </w:p>
        </w:tc>
        <w:tc>
          <w:tcPr>
            <w:tcW w:w="1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07D41">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i w:val="0"/>
                <w:iCs w:val="0"/>
                <w:color w:val="auto"/>
                <w:kern w:val="0"/>
                <w:sz w:val="21"/>
                <w:szCs w:val="21"/>
                <w:highlight w:val="none"/>
                <w:lang w:val="en-US" w:eastAsia="zh-CN" w:bidi="ar"/>
              </w:rPr>
              <w:t>资金管理</w:t>
            </w:r>
          </w:p>
        </w:tc>
        <w:tc>
          <w:tcPr>
            <w:tcW w:w="16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78798">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i w:val="0"/>
                <w:iCs w:val="0"/>
                <w:color w:val="auto"/>
                <w:kern w:val="0"/>
                <w:sz w:val="21"/>
                <w:szCs w:val="21"/>
                <w:highlight w:val="none"/>
                <w:lang w:val="en-US" w:eastAsia="zh-CN" w:bidi="ar"/>
              </w:rPr>
              <w:t>14</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6083D">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i w:val="0"/>
                <w:iCs w:val="0"/>
                <w:color w:val="auto"/>
                <w:kern w:val="0"/>
                <w:sz w:val="21"/>
                <w:szCs w:val="21"/>
                <w:highlight w:val="none"/>
                <w:lang w:val="en-US" w:eastAsia="zh-CN" w:bidi="ar"/>
              </w:rPr>
              <w:t>结转结余率</w:t>
            </w:r>
          </w:p>
        </w:tc>
        <w:tc>
          <w:tcPr>
            <w:tcW w:w="1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164B0">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i w:val="0"/>
                <w:iCs w:val="0"/>
                <w:color w:val="auto"/>
                <w:kern w:val="0"/>
                <w:sz w:val="21"/>
                <w:szCs w:val="21"/>
                <w:highlight w:val="none"/>
                <w:lang w:val="en-US" w:eastAsia="zh-CN" w:bidi="ar"/>
              </w:rPr>
              <w:t>3</w:t>
            </w:r>
          </w:p>
        </w:tc>
        <w:tc>
          <w:tcPr>
            <w:tcW w:w="8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3DD6F">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lang w:val="en-US" w:eastAsia="zh-CN" w:bidi="ar"/>
              </w:rPr>
              <w:t>部门当年度结转结余额与当年度预算总额的比率，用以反映和考核部门对结转结余资金的实际控制程度。</w:t>
            </w:r>
          </w:p>
        </w:tc>
        <w:tc>
          <w:tcPr>
            <w:tcW w:w="16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30FCB3">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Theme="minorEastAsia" w:hAnsiTheme="minorEastAsia" w:eastAsiaTheme="minorEastAsia" w:cstheme="minorEastAsia"/>
                <w:i w:val="0"/>
                <w:iCs w:val="0"/>
                <w:color w:val="auto"/>
                <w:kern w:val="0"/>
                <w:sz w:val="21"/>
                <w:szCs w:val="21"/>
                <w:highlight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lang w:val="en-US" w:eastAsia="zh-CN" w:bidi="ar"/>
              </w:rPr>
              <w:t>结转结余率=年末财政拨款结转和结余决算数/（年初财政拨款结转和结余收入决算数+一般公共预算财政拨款决算数+政府性基金预算财政拨款决算数）×100%</w:t>
            </w:r>
          </w:p>
          <w:p w14:paraId="2E0E9415">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Theme="minorEastAsia" w:hAnsiTheme="minorEastAsia" w:eastAsiaTheme="minorEastAsia" w:cstheme="minorEastAsia"/>
                <w:i w:val="0"/>
                <w:iCs w:val="0"/>
                <w:color w:val="auto"/>
                <w:kern w:val="0"/>
                <w:sz w:val="21"/>
                <w:szCs w:val="21"/>
                <w:highlight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lang w:val="en-US" w:eastAsia="zh-CN" w:bidi="ar"/>
              </w:rPr>
              <w:t>1.结转结余率≤10%的，得3分；</w:t>
            </w:r>
          </w:p>
          <w:p w14:paraId="358B81BA">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Theme="minorEastAsia" w:hAnsiTheme="minorEastAsia" w:eastAsiaTheme="minorEastAsia" w:cstheme="minorEastAsia"/>
                <w:i w:val="0"/>
                <w:iCs w:val="0"/>
                <w:color w:val="auto"/>
                <w:kern w:val="0"/>
                <w:sz w:val="21"/>
                <w:szCs w:val="21"/>
                <w:highlight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lang w:val="en-US" w:eastAsia="zh-CN" w:bidi="ar"/>
              </w:rPr>
              <w:t>2.10%＜结转结余率≤20%的，得2分；</w:t>
            </w:r>
          </w:p>
          <w:p w14:paraId="7BDD41A7">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Theme="minorEastAsia" w:hAnsiTheme="minorEastAsia" w:eastAsiaTheme="minorEastAsia" w:cstheme="minorEastAsia"/>
                <w:i w:val="0"/>
                <w:iCs w:val="0"/>
                <w:color w:val="auto"/>
                <w:kern w:val="0"/>
                <w:sz w:val="21"/>
                <w:szCs w:val="21"/>
                <w:highlight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lang w:val="en-US" w:eastAsia="zh-CN" w:bidi="ar"/>
              </w:rPr>
              <w:t>3.20%＜结转结余率≤30%的，得1分</w:t>
            </w:r>
          </w:p>
          <w:p w14:paraId="3B2F3ECD">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lang w:val="en-US" w:eastAsia="zh-CN" w:bidi="ar"/>
              </w:rPr>
              <w:t>4.结转结余率＞30%的，得0分。</w:t>
            </w:r>
          </w:p>
        </w:tc>
        <w:tc>
          <w:tcPr>
            <w:tcW w:w="2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3F93E">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lang w:eastAsia="zh-CN" w:bidi="ar"/>
              </w:rPr>
            </w:pPr>
            <w:r>
              <w:rPr>
                <w:rFonts w:hint="eastAsia" w:asciiTheme="minorEastAsia" w:hAnsiTheme="minorEastAsia" w:eastAsiaTheme="minorEastAsia" w:cstheme="minorEastAsia"/>
                <w:i w:val="0"/>
                <w:iCs w:val="0"/>
                <w:color w:val="auto"/>
                <w:kern w:val="0"/>
                <w:sz w:val="21"/>
                <w:szCs w:val="21"/>
                <w:highlight w:val="none"/>
                <w:lang w:eastAsia="zh-CN" w:bidi="ar"/>
              </w:rPr>
              <w:t>3</w:t>
            </w:r>
          </w:p>
        </w:tc>
        <w:tc>
          <w:tcPr>
            <w:tcW w:w="1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52D80">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Theme="minorEastAsia" w:hAnsiTheme="minorEastAsia" w:eastAsiaTheme="minorEastAsia" w:cstheme="minorEastAsia"/>
                <w:i w:val="0"/>
                <w:iCs w:val="0"/>
                <w:color w:val="auto"/>
                <w:kern w:val="0"/>
                <w:sz w:val="21"/>
                <w:szCs w:val="21"/>
                <w:highlight w:val="none"/>
                <w:lang w:eastAsia="zh-CN" w:bidi="ar"/>
              </w:rPr>
            </w:pPr>
            <w:r>
              <w:rPr>
                <w:rFonts w:hint="eastAsia" w:asciiTheme="minorEastAsia" w:hAnsiTheme="minorEastAsia" w:eastAsiaTheme="minorEastAsia" w:cstheme="minorEastAsia"/>
                <w:i w:val="0"/>
                <w:iCs w:val="0"/>
                <w:color w:val="auto"/>
                <w:kern w:val="0"/>
                <w:sz w:val="21"/>
                <w:szCs w:val="21"/>
                <w:highlight w:val="none"/>
                <w:lang w:eastAsia="zh-CN" w:bidi="ar"/>
              </w:rPr>
              <w:t>年末财政拨款结转和结余决算数为0万元，年初财政拨款结转和结余收入决算数为0万元，一般公共预算财政拨款决算数为2,594.98万元，依据公式计算得结转结余率为0%。</w:t>
            </w:r>
          </w:p>
        </w:tc>
      </w:tr>
      <w:tr w14:paraId="47EE6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0" w:hRule="atLeast"/>
          <w:jc w:val="center"/>
        </w:trPr>
        <w:tc>
          <w:tcPr>
            <w:tcW w:w="1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4BCD7E">
            <w:pPr>
              <w:spacing w:line="240" w:lineRule="auto"/>
              <w:jc w:val="center"/>
              <w:rPr>
                <w:rFonts w:hint="eastAsia" w:asciiTheme="minorEastAsia" w:hAnsiTheme="minorEastAsia" w:eastAsiaTheme="minorEastAsia" w:cstheme="minorEastAsia"/>
                <w:color w:val="auto"/>
                <w:sz w:val="21"/>
                <w:szCs w:val="21"/>
                <w:highlight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207B7">
            <w:pPr>
              <w:spacing w:line="240" w:lineRule="auto"/>
              <w:jc w:val="center"/>
              <w:rPr>
                <w:rFonts w:hint="eastAsia" w:asciiTheme="minorEastAsia" w:hAnsiTheme="minorEastAsia" w:eastAsiaTheme="minorEastAsia" w:cstheme="minorEastAsia"/>
                <w:color w:val="auto"/>
                <w:sz w:val="21"/>
                <w:szCs w:val="21"/>
                <w:highlight w:val="none"/>
              </w:rPr>
            </w:pPr>
          </w:p>
        </w:tc>
        <w:tc>
          <w:tcPr>
            <w:tcW w:w="1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DB987D">
            <w:pPr>
              <w:spacing w:line="240" w:lineRule="auto"/>
              <w:jc w:val="center"/>
              <w:rPr>
                <w:rFonts w:hint="eastAsia" w:asciiTheme="minorEastAsia" w:hAnsiTheme="minorEastAsia" w:eastAsiaTheme="minorEastAsia" w:cstheme="minorEastAsia"/>
                <w:color w:val="auto"/>
                <w:sz w:val="21"/>
                <w:szCs w:val="21"/>
                <w:highlight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E39C6">
            <w:pPr>
              <w:spacing w:line="240" w:lineRule="auto"/>
              <w:jc w:val="center"/>
              <w:rPr>
                <w:rFonts w:hint="eastAsia" w:asciiTheme="minorEastAsia" w:hAnsiTheme="minorEastAsia" w:eastAsiaTheme="minorEastAsia" w:cstheme="minorEastAsia"/>
                <w:color w:val="auto"/>
                <w:sz w:val="21"/>
                <w:szCs w:val="21"/>
                <w:highlight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9F0ED">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i w:val="0"/>
                <w:iCs w:val="0"/>
                <w:color w:val="auto"/>
                <w:kern w:val="0"/>
                <w:sz w:val="21"/>
                <w:szCs w:val="21"/>
                <w:highlight w:val="none"/>
                <w:lang w:val="en-US" w:eastAsia="zh-CN" w:bidi="ar"/>
              </w:rPr>
              <w:t>单位会计核算规范性</w:t>
            </w:r>
          </w:p>
        </w:tc>
        <w:tc>
          <w:tcPr>
            <w:tcW w:w="1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56E597">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i w:val="0"/>
                <w:iCs w:val="0"/>
                <w:color w:val="auto"/>
                <w:kern w:val="0"/>
                <w:sz w:val="21"/>
                <w:szCs w:val="21"/>
                <w:highlight w:val="none"/>
                <w:lang w:val="en-US" w:eastAsia="zh-CN" w:bidi="ar"/>
              </w:rPr>
              <w:t>6</w:t>
            </w:r>
          </w:p>
        </w:tc>
        <w:tc>
          <w:tcPr>
            <w:tcW w:w="8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863DD2">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lang w:val="en-US" w:eastAsia="zh-CN" w:bidi="ar"/>
              </w:rPr>
              <w:t>考核部门（单位）会计核算是否规范，会计账户、科目是否设置正确、是否及时记账、与国库支付数据的挂接情况等。</w:t>
            </w:r>
          </w:p>
        </w:tc>
        <w:tc>
          <w:tcPr>
            <w:tcW w:w="16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5FA523">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Theme="minorEastAsia" w:hAnsiTheme="minorEastAsia" w:eastAsiaTheme="minorEastAsia" w:cstheme="minorEastAsia"/>
                <w:i w:val="0"/>
                <w:iCs w:val="0"/>
                <w:color w:val="auto"/>
                <w:kern w:val="0"/>
                <w:sz w:val="21"/>
                <w:szCs w:val="21"/>
                <w:highlight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lang w:val="en-US" w:eastAsia="zh-CN" w:bidi="ar"/>
              </w:rPr>
              <w:t>1.覆盖率有效性:部门（单位）能同时满足已开通账套进行核算、核算数据已挂接国库业务单据、期初余额借贷平衡和财务负责人准确四项条件的，得3分，一项不满足的不得分；</w:t>
            </w:r>
          </w:p>
          <w:p w14:paraId="013DB30C">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Theme="minorEastAsia" w:hAnsiTheme="minorEastAsia" w:eastAsiaTheme="minorEastAsia" w:cstheme="minorEastAsia"/>
                <w:i w:val="0"/>
                <w:iCs w:val="0"/>
                <w:color w:val="auto"/>
                <w:kern w:val="0"/>
                <w:sz w:val="21"/>
                <w:szCs w:val="21"/>
                <w:highlight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lang w:val="en-US" w:eastAsia="zh-CN" w:bidi="ar"/>
              </w:rPr>
              <w:t>2.偏离度合格率：部门（单位）能满足“财政资金记账凭证金额”与对应的“国库支付单据总金额”比值处于90%-110%的，可得3分；</w:t>
            </w:r>
          </w:p>
          <w:p w14:paraId="6C4D4001">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lang w:val="en-US" w:eastAsia="zh-CN" w:bidi="ar"/>
              </w:rPr>
              <w:t>无上级专项资金的部门（单位）该项权重分调整为12分，即以上两点要求分值分别调整为6分。</w:t>
            </w:r>
          </w:p>
        </w:tc>
        <w:tc>
          <w:tcPr>
            <w:tcW w:w="2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D29A2">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lang w:eastAsia="zh-CN" w:bidi="ar"/>
              </w:rPr>
            </w:pPr>
            <w:r>
              <w:rPr>
                <w:rFonts w:hint="eastAsia" w:asciiTheme="minorEastAsia" w:hAnsiTheme="minorEastAsia" w:eastAsiaTheme="minorEastAsia" w:cstheme="minorEastAsia"/>
                <w:i w:val="0"/>
                <w:iCs w:val="0"/>
                <w:color w:val="auto"/>
                <w:kern w:val="0"/>
                <w:sz w:val="21"/>
                <w:szCs w:val="21"/>
                <w:highlight w:val="none"/>
                <w:lang w:eastAsia="zh-CN" w:bidi="ar"/>
              </w:rPr>
              <w:t>4.5</w:t>
            </w:r>
          </w:p>
        </w:tc>
        <w:tc>
          <w:tcPr>
            <w:tcW w:w="1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AC00AC">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Theme="minorEastAsia" w:hAnsiTheme="minorEastAsia" w:eastAsiaTheme="minorEastAsia" w:cstheme="minorEastAsia"/>
                <w:i w:val="0"/>
                <w:iCs w:val="0"/>
                <w:color w:val="auto"/>
                <w:kern w:val="0"/>
                <w:sz w:val="21"/>
                <w:szCs w:val="21"/>
                <w:highlight w:val="none"/>
                <w:lang w:eastAsia="zh-CN" w:bidi="ar"/>
              </w:rPr>
            </w:pPr>
            <w:r>
              <w:rPr>
                <w:rFonts w:hint="eastAsia" w:asciiTheme="minorEastAsia" w:hAnsiTheme="minorEastAsia" w:eastAsiaTheme="minorEastAsia" w:cstheme="minorEastAsia"/>
                <w:i w:val="0"/>
                <w:iCs w:val="0"/>
                <w:color w:val="auto"/>
                <w:kern w:val="0"/>
                <w:sz w:val="21"/>
                <w:szCs w:val="21"/>
                <w:highlight w:val="none"/>
                <w:lang w:eastAsia="zh-CN" w:bidi="ar"/>
              </w:rPr>
              <w:t>未能提供往来明细清单，存在历史遗留问题，债权人已破产，形成事实上坏账，并未能针对该部分坏账有明确和及时的处理办法。未能在会计记账中反映预算调整情况。</w:t>
            </w:r>
          </w:p>
        </w:tc>
      </w:tr>
      <w:tr w14:paraId="3BE8E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89" w:hRule="atLeast"/>
          <w:jc w:val="center"/>
        </w:trPr>
        <w:tc>
          <w:tcPr>
            <w:tcW w:w="1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AAAF1">
            <w:pPr>
              <w:spacing w:line="240" w:lineRule="auto"/>
              <w:jc w:val="center"/>
              <w:rPr>
                <w:rFonts w:hint="eastAsia" w:asciiTheme="minorEastAsia" w:hAnsiTheme="minorEastAsia" w:eastAsiaTheme="minorEastAsia" w:cstheme="minorEastAsia"/>
                <w:color w:val="auto"/>
                <w:sz w:val="21"/>
                <w:szCs w:val="21"/>
                <w:highlight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543A49">
            <w:pPr>
              <w:spacing w:line="240" w:lineRule="auto"/>
              <w:jc w:val="center"/>
              <w:rPr>
                <w:rFonts w:hint="eastAsia" w:asciiTheme="minorEastAsia" w:hAnsiTheme="minorEastAsia" w:eastAsiaTheme="minorEastAsia" w:cstheme="minorEastAsia"/>
                <w:color w:val="auto"/>
                <w:sz w:val="21"/>
                <w:szCs w:val="21"/>
                <w:highlight w:val="none"/>
              </w:rPr>
            </w:pPr>
          </w:p>
        </w:tc>
        <w:tc>
          <w:tcPr>
            <w:tcW w:w="1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555A5">
            <w:pPr>
              <w:spacing w:line="240" w:lineRule="auto"/>
              <w:jc w:val="center"/>
              <w:rPr>
                <w:rFonts w:hint="eastAsia" w:asciiTheme="minorEastAsia" w:hAnsiTheme="minorEastAsia" w:eastAsiaTheme="minorEastAsia" w:cstheme="minorEastAsia"/>
                <w:color w:val="auto"/>
                <w:sz w:val="21"/>
                <w:szCs w:val="21"/>
                <w:highlight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C23BFF">
            <w:pPr>
              <w:spacing w:line="240" w:lineRule="auto"/>
              <w:jc w:val="center"/>
              <w:rPr>
                <w:rFonts w:hint="eastAsia" w:asciiTheme="minorEastAsia" w:hAnsiTheme="minorEastAsia" w:eastAsiaTheme="minorEastAsia" w:cstheme="minorEastAsia"/>
                <w:color w:val="auto"/>
                <w:sz w:val="21"/>
                <w:szCs w:val="21"/>
                <w:highlight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A0715">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i w:val="0"/>
                <w:iCs w:val="0"/>
                <w:color w:val="auto"/>
                <w:kern w:val="0"/>
                <w:sz w:val="21"/>
                <w:szCs w:val="21"/>
                <w:highlight w:val="none"/>
                <w:lang w:val="en-US" w:eastAsia="zh-CN" w:bidi="ar"/>
              </w:rPr>
              <w:t>财务管理合规性</w:t>
            </w:r>
          </w:p>
        </w:tc>
        <w:tc>
          <w:tcPr>
            <w:tcW w:w="1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73A393">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i w:val="0"/>
                <w:iCs w:val="0"/>
                <w:color w:val="auto"/>
                <w:kern w:val="0"/>
                <w:sz w:val="21"/>
                <w:szCs w:val="21"/>
                <w:highlight w:val="none"/>
                <w:lang w:val="en-US" w:eastAsia="zh-CN" w:bidi="ar"/>
              </w:rPr>
              <w:t>5</w:t>
            </w:r>
          </w:p>
        </w:tc>
        <w:tc>
          <w:tcPr>
            <w:tcW w:w="8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B1A58">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lang w:val="en-US" w:eastAsia="zh-CN" w:bidi="ar"/>
              </w:rPr>
              <w:t>支出范围、程序、用途、核算应符合国家财经法规和财务管理制度及有关专项资金管理办法的规定。该项反映部门（单位）财务管理的规范性。</w:t>
            </w:r>
          </w:p>
        </w:tc>
        <w:tc>
          <w:tcPr>
            <w:tcW w:w="16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0B80E">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Theme="minorEastAsia" w:hAnsiTheme="minorEastAsia" w:eastAsiaTheme="minorEastAsia" w:cstheme="minorEastAsia"/>
                <w:i w:val="0"/>
                <w:iCs w:val="0"/>
                <w:color w:val="auto"/>
                <w:kern w:val="0"/>
                <w:sz w:val="21"/>
                <w:szCs w:val="21"/>
                <w:highlight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lang w:val="en-US" w:eastAsia="zh-CN" w:bidi="ar"/>
              </w:rPr>
              <w:t>根据巡察、审计（以部门预算审计和专项审计为主）、财会监督意见、部门组织的内部财务监督检查采取扣分法评分：</w:t>
            </w:r>
          </w:p>
          <w:p w14:paraId="57435F5F">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Theme="minorEastAsia" w:hAnsiTheme="minorEastAsia" w:eastAsiaTheme="minorEastAsia" w:cstheme="minorEastAsia"/>
                <w:i w:val="0"/>
                <w:iCs w:val="0"/>
                <w:color w:val="auto"/>
                <w:kern w:val="0"/>
                <w:sz w:val="21"/>
                <w:szCs w:val="21"/>
                <w:highlight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lang w:val="en-US" w:eastAsia="zh-CN" w:bidi="ar"/>
              </w:rPr>
              <w:t>1.明确指出问题和处理意见的，并限期整改的，1项扣1分；</w:t>
            </w:r>
          </w:p>
          <w:p w14:paraId="22211870">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Theme="minorEastAsia" w:hAnsiTheme="minorEastAsia" w:eastAsiaTheme="minorEastAsia" w:cstheme="minorEastAsia"/>
                <w:i w:val="0"/>
                <w:iCs w:val="0"/>
                <w:color w:val="auto"/>
                <w:kern w:val="0"/>
                <w:sz w:val="21"/>
                <w:szCs w:val="21"/>
                <w:highlight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lang w:val="en-US" w:eastAsia="zh-CN" w:bidi="ar"/>
              </w:rPr>
              <w:t>2.未明确处理意见，属于因主管部门制度设计缺陷或失职等造成资金套取、冒领、挪用的，1项扣1分；</w:t>
            </w:r>
          </w:p>
          <w:p w14:paraId="00C196B8">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Theme="minorEastAsia" w:hAnsiTheme="minorEastAsia" w:eastAsiaTheme="minorEastAsia" w:cstheme="minorEastAsia"/>
                <w:i w:val="0"/>
                <w:iCs w:val="0"/>
                <w:color w:val="auto"/>
                <w:kern w:val="0"/>
                <w:sz w:val="21"/>
                <w:szCs w:val="21"/>
                <w:highlight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lang w:val="en-US" w:eastAsia="zh-CN" w:bidi="ar"/>
              </w:rPr>
              <w:t>3.连续两年对因业务主管部门责任引发的同一问题提出意见或主管部门未落实相关审计和财会监督整改意见的，1项扣1分。</w:t>
            </w:r>
          </w:p>
          <w:p w14:paraId="541EF2C2">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lang w:val="en-US" w:eastAsia="zh-CN" w:bidi="ar"/>
              </w:rPr>
              <w:t>根据上述扣分情况扣完为止，审计提出的资产管理、采购等合规性在相应指标扣分，在此项指标不重复扣分。</w:t>
            </w:r>
          </w:p>
        </w:tc>
        <w:tc>
          <w:tcPr>
            <w:tcW w:w="2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20852">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lang w:eastAsia="zh-CN" w:bidi="ar"/>
              </w:rPr>
            </w:pPr>
            <w:r>
              <w:rPr>
                <w:rFonts w:hint="eastAsia" w:asciiTheme="minorEastAsia" w:hAnsiTheme="minorEastAsia" w:eastAsiaTheme="minorEastAsia" w:cstheme="minorEastAsia"/>
                <w:i w:val="0"/>
                <w:iCs w:val="0"/>
                <w:color w:val="auto"/>
                <w:kern w:val="0"/>
                <w:sz w:val="21"/>
                <w:szCs w:val="21"/>
                <w:highlight w:val="none"/>
                <w:lang w:eastAsia="zh-CN" w:bidi="ar"/>
              </w:rPr>
              <w:t>5</w:t>
            </w:r>
          </w:p>
        </w:tc>
        <w:tc>
          <w:tcPr>
            <w:tcW w:w="1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9E78B9">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Theme="minorEastAsia" w:hAnsiTheme="minorEastAsia" w:eastAsiaTheme="minorEastAsia" w:cstheme="minorEastAsia"/>
                <w:i w:val="0"/>
                <w:iCs w:val="0"/>
                <w:color w:val="auto"/>
                <w:kern w:val="0"/>
                <w:sz w:val="21"/>
                <w:szCs w:val="21"/>
                <w:highlight w:val="none"/>
                <w:lang w:eastAsia="zh-CN" w:bidi="ar"/>
              </w:rPr>
            </w:pPr>
            <w:r>
              <w:rPr>
                <w:rFonts w:hint="eastAsia" w:asciiTheme="minorEastAsia" w:hAnsiTheme="minorEastAsia" w:eastAsiaTheme="minorEastAsia" w:cstheme="minorEastAsia"/>
                <w:i w:val="0"/>
                <w:iCs w:val="0"/>
                <w:color w:val="auto"/>
                <w:kern w:val="0"/>
                <w:sz w:val="21"/>
                <w:szCs w:val="21"/>
                <w:highlight w:val="none"/>
                <w:lang w:eastAsia="zh-CN" w:bidi="ar"/>
              </w:rPr>
              <w:t>未发生巡察事宜。</w:t>
            </w:r>
          </w:p>
        </w:tc>
      </w:tr>
      <w:tr w14:paraId="1C963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1DD0A">
            <w:pPr>
              <w:spacing w:line="240" w:lineRule="auto"/>
              <w:jc w:val="center"/>
              <w:rPr>
                <w:rFonts w:hint="eastAsia" w:asciiTheme="minorEastAsia" w:hAnsiTheme="minorEastAsia" w:eastAsiaTheme="minorEastAsia" w:cstheme="minorEastAsia"/>
                <w:color w:val="auto"/>
                <w:sz w:val="21"/>
                <w:szCs w:val="21"/>
                <w:highlight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AA81A">
            <w:pPr>
              <w:spacing w:line="240" w:lineRule="auto"/>
              <w:jc w:val="center"/>
              <w:rPr>
                <w:rFonts w:hint="eastAsia" w:asciiTheme="minorEastAsia" w:hAnsiTheme="minorEastAsia" w:eastAsiaTheme="minorEastAsia" w:cstheme="minorEastAsia"/>
                <w:color w:val="auto"/>
                <w:sz w:val="21"/>
                <w:szCs w:val="21"/>
                <w:highlight w:val="none"/>
              </w:rPr>
            </w:pPr>
          </w:p>
        </w:tc>
        <w:tc>
          <w:tcPr>
            <w:tcW w:w="1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897F7">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i w:val="0"/>
                <w:iCs w:val="0"/>
                <w:color w:val="auto"/>
                <w:kern w:val="0"/>
                <w:sz w:val="21"/>
                <w:szCs w:val="21"/>
                <w:highlight w:val="none"/>
                <w:lang w:val="en-US" w:eastAsia="zh-CN" w:bidi="ar"/>
              </w:rPr>
              <w:t>信息公开</w:t>
            </w:r>
          </w:p>
        </w:tc>
        <w:tc>
          <w:tcPr>
            <w:tcW w:w="16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70A45B">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i w:val="0"/>
                <w:iCs w:val="0"/>
                <w:color w:val="auto"/>
                <w:kern w:val="0"/>
                <w:sz w:val="21"/>
                <w:szCs w:val="21"/>
                <w:highlight w:val="none"/>
                <w:lang w:val="en-US" w:eastAsia="zh-CN" w:bidi="ar"/>
              </w:rPr>
              <w:t>4</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FF382">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i w:val="0"/>
                <w:iCs w:val="0"/>
                <w:color w:val="auto"/>
                <w:kern w:val="0"/>
                <w:sz w:val="21"/>
                <w:szCs w:val="21"/>
                <w:highlight w:val="none"/>
                <w:lang w:val="en-US" w:eastAsia="zh-CN" w:bidi="ar"/>
              </w:rPr>
              <w:t>预决算公开合规性</w:t>
            </w:r>
          </w:p>
        </w:tc>
        <w:tc>
          <w:tcPr>
            <w:tcW w:w="1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EBB7C6">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i w:val="0"/>
                <w:iCs w:val="0"/>
                <w:color w:val="auto"/>
                <w:kern w:val="0"/>
                <w:sz w:val="21"/>
                <w:szCs w:val="21"/>
                <w:highlight w:val="none"/>
                <w:lang w:val="en-US" w:eastAsia="zh-CN" w:bidi="ar"/>
              </w:rPr>
              <w:t>2</w:t>
            </w:r>
          </w:p>
        </w:tc>
        <w:tc>
          <w:tcPr>
            <w:tcW w:w="8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D399AC">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lang w:val="en-US" w:eastAsia="zh-CN" w:bidi="ar"/>
              </w:rPr>
              <w:t>反映部门（单位）预算决算公开执行到位情况</w:t>
            </w:r>
          </w:p>
        </w:tc>
        <w:tc>
          <w:tcPr>
            <w:tcW w:w="16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DAA8C">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lang w:val="en-US" w:eastAsia="zh-CN" w:bidi="ar"/>
              </w:rPr>
              <w:t>预算、决算公开合规性各占50%，对未公开的非涉密部门，得0分。决算方面可提供2022年决算公开情况。</w:t>
            </w:r>
          </w:p>
        </w:tc>
        <w:tc>
          <w:tcPr>
            <w:tcW w:w="2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A8730">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lang w:eastAsia="zh-CN" w:bidi="ar"/>
              </w:rPr>
            </w:pPr>
            <w:r>
              <w:rPr>
                <w:rFonts w:hint="eastAsia" w:asciiTheme="minorEastAsia" w:hAnsiTheme="minorEastAsia" w:eastAsiaTheme="minorEastAsia" w:cstheme="minorEastAsia"/>
                <w:i w:val="0"/>
                <w:iCs w:val="0"/>
                <w:color w:val="auto"/>
                <w:kern w:val="0"/>
                <w:sz w:val="21"/>
                <w:szCs w:val="21"/>
                <w:highlight w:val="none"/>
                <w:lang w:eastAsia="zh-CN" w:bidi="ar"/>
              </w:rPr>
              <w:t>2</w:t>
            </w:r>
          </w:p>
        </w:tc>
        <w:tc>
          <w:tcPr>
            <w:tcW w:w="1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51EE4">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Theme="minorEastAsia" w:hAnsiTheme="minorEastAsia" w:eastAsiaTheme="minorEastAsia" w:cstheme="minorEastAsia"/>
                <w:i w:val="0"/>
                <w:iCs w:val="0"/>
                <w:color w:val="auto"/>
                <w:kern w:val="0"/>
                <w:sz w:val="21"/>
                <w:szCs w:val="21"/>
                <w:highlight w:val="none"/>
                <w:lang w:eastAsia="zh-CN" w:bidi="ar"/>
              </w:rPr>
            </w:pPr>
            <w:r>
              <w:rPr>
                <w:rFonts w:hint="eastAsia" w:asciiTheme="minorEastAsia" w:hAnsiTheme="minorEastAsia" w:eastAsiaTheme="minorEastAsia" w:cstheme="minorEastAsia"/>
                <w:i w:val="0"/>
                <w:iCs w:val="0"/>
                <w:color w:val="auto"/>
                <w:kern w:val="0"/>
                <w:sz w:val="21"/>
                <w:szCs w:val="21"/>
                <w:highlight w:val="none"/>
                <w:lang w:eastAsia="zh-CN" w:bidi="ar"/>
              </w:rPr>
              <w:t>按要求公开。</w:t>
            </w:r>
          </w:p>
        </w:tc>
      </w:tr>
      <w:tr w14:paraId="68EFC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ACB92">
            <w:pPr>
              <w:spacing w:line="240" w:lineRule="auto"/>
              <w:jc w:val="center"/>
              <w:rPr>
                <w:rFonts w:hint="eastAsia" w:asciiTheme="minorEastAsia" w:hAnsiTheme="minorEastAsia" w:eastAsiaTheme="minorEastAsia" w:cstheme="minorEastAsia"/>
                <w:color w:val="auto"/>
                <w:sz w:val="21"/>
                <w:szCs w:val="21"/>
                <w:highlight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895B2">
            <w:pPr>
              <w:spacing w:line="240" w:lineRule="auto"/>
              <w:jc w:val="center"/>
              <w:rPr>
                <w:rFonts w:hint="eastAsia" w:asciiTheme="minorEastAsia" w:hAnsiTheme="minorEastAsia" w:eastAsiaTheme="minorEastAsia" w:cstheme="minorEastAsia"/>
                <w:color w:val="auto"/>
                <w:sz w:val="21"/>
                <w:szCs w:val="21"/>
                <w:highlight w:val="none"/>
              </w:rPr>
            </w:pPr>
          </w:p>
        </w:tc>
        <w:tc>
          <w:tcPr>
            <w:tcW w:w="1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E1ACB">
            <w:pPr>
              <w:spacing w:line="240" w:lineRule="auto"/>
              <w:jc w:val="center"/>
              <w:rPr>
                <w:rFonts w:hint="eastAsia" w:asciiTheme="minorEastAsia" w:hAnsiTheme="minorEastAsia" w:eastAsiaTheme="minorEastAsia" w:cstheme="minorEastAsia"/>
                <w:color w:val="auto"/>
                <w:sz w:val="21"/>
                <w:szCs w:val="21"/>
                <w:highlight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A9FAB6">
            <w:pPr>
              <w:spacing w:line="240" w:lineRule="auto"/>
              <w:jc w:val="center"/>
              <w:rPr>
                <w:rFonts w:hint="eastAsia" w:asciiTheme="minorEastAsia" w:hAnsiTheme="minorEastAsia" w:eastAsiaTheme="minorEastAsia" w:cstheme="minorEastAsia"/>
                <w:color w:val="auto"/>
                <w:sz w:val="21"/>
                <w:szCs w:val="21"/>
                <w:highlight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E3034">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i w:val="0"/>
                <w:iCs w:val="0"/>
                <w:color w:val="auto"/>
                <w:kern w:val="0"/>
                <w:sz w:val="21"/>
                <w:szCs w:val="21"/>
                <w:highlight w:val="none"/>
                <w:lang w:val="en-US" w:eastAsia="zh-CN" w:bidi="ar"/>
              </w:rPr>
              <w:t>绩效信息公开情况</w:t>
            </w:r>
          </w:p>
        </w:tc>
        <w:tc>
          <w:tcPr>
            <w:tcW w:w="1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F7DFA9">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i w:val="0"/>
                <w:iCs w:val="0"/>
                <w:color w:val="auto"/>
                <w:kern w:val="0"/>
                <w:sz w:val="21"/>
                <w:szCs w:val="21"/>
                <w:highlight w:val="none"/>
                <w:lang w:val="en-US" w:eastAsia="zh-CN" w:bidi="ar"/>
              </w:rPr>
              <w:t>2</w:t>
            </w:r>
          </w:p>
        </w:tc>
        <w:tc>
          <w:tcPr>
            <w:tcW w:w="8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D2876">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lang w:val="en-US" w:eastAsia="zh-CN" w:bidi="ar"/>
              </w:rPr>
              <w:t>反映部门（单位）绩效信息公开执行到位情况</w:t>
            </w:r>
          </w:p>
        </w:tc>
        <w:tc>
          <w:tcPr>
            <w:tcW w:w="16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FF795">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Theme="minorEastAsia" w:hAnsiTheme="minorEastAsia" w:eastAsiaTheme="minorEastAsia" w:cstheme="minorEastAsia"/>
                <w:i w:val="0"/>
                <w:iCs w:val="0"/>
                <w:color w:val="auto"/>
                <w:kern w:val="0"/>
                <w:sz w:val="21"/>
                <w:szCs w:val="21"/>
                <w:highlight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lang w:val="en-US" w:eastAsia="zh-CN" w:bidi="ar"/>
              </w:rPr>
              <w:t>指绩效目标、绩效自评资料按规定在单位网站公开情况。</w:t>
            </w:r>
          </w:p>
          <w:p w14:paraId="74A3F8D9">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Theme="minorEastAsia" w:hAnsiTheme="minorEastAsia" w:eastAsiaTheme="minorEastAsia" w:cstheme="minorEastAsia"/>
                <w:i w:val="0"/>
                <w:iCs w:val="0"/>
                <w:color w:val="auto"/>
                <w:kern w:val="0"/>
                <w:sz w:val="21"/>
                <w:szCs w:val="21"/>
                <w:highlight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lang w:val="en-US" w:eastAsia="zh-CN" w:bidi="ar"/>
              </w:rPr>
              <w:t>1.绩效目标随部门预算在规定时间公开的，得1分；</w:t>
            </w:r>
          </w:p>
          <w:p w14:paraId="100108F1">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lang w:val="en-US" w:eastAsia="zh-CN" w:bidi="ar"/>
              </w:rPr>
              <w:t>2.本次整体绩效自评资料（含项目自评报告）在规定时间公开的，得1分；</w:t>
            </w:r>
          </w:p>
        </w:tc>
        <w:tc>
          <w:tcPr>
            <w:tcW w:w="2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367F7">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lang w:eastAsia="zh-CN" w:bidi="ar"/>
              </w:rPr>
            </w:pPr>
            <w:r>
              <w:rPr>
                <w:rFonts w:hint="eastAsia" w:asciiTheme="minorEastAsia" w:hAnsiTheme="minorEastAsia" w:eastAsiaTheme="minorEastAsia" w:cstheme="minorEastAsia"/>
                <w:i w:val="0"/>
                <w:iCs w:val="0"/>
                <w:color w:val="auto"/>
                <w:kern w:val="0"/>
                <w:sz w:val="21"/>
                <w:szCs w:val="21"/>
                <w:highlight w:val="none"/>
                <w:lang w:eastAsia="zh-CN" w:bidi="ar"/>
              </w:rPr>
              <w:t>1</w:t>
            </w:r>
          </w:p>
        </w:tc>
        <w:tc>
          <w:tcPr>
            <w:tcW w:w="1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6D185">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Theme="minorEastAsia" w:hAnsiTheme="minorEastAsia" w:eastAsiaTheme="minorEastAsia" w:cstheme="minorEastAsia"/>
                <w:i w:val="0"/>
                <w:iCs w:val="0"/>
                <w:color w:val="auto"/>
                <w:kern w:val="0"/>
                <w:sz w:val="21"/>
                <w:szCs w:val="21"/>
                <w:highlight w:val="none"/>
                <w:lang w:eastAsia="zh-CN" w:bidi="ar"/>
              </w:rPr>
            </w:pPr>
            <w:r>
              <w:rPr>
                <w:rFonts w:hint="eastAsia" w:asciiTheme="minorEastAsia" w:hAnsiTheme="minorEastAsia" w:eastAsiaTheme="minorEastAsia" w:cstheme="minorEastAsia"/>
                <w:i w:val="0"/>
                <w:iCs w:val="0"/>
                <w:color w:val="auto"/>
                <w:kern w:val="0"/>
                <w:sz w:val="21"/>
                <w:szCs w:val="21"/>
                <w:highlight w:val="none"/>
                <w:lang w:eastAsia="zh-CN" w:bidi="ar"/>
              </w:rPr>
              <w:t>仅公开了绩效自评资料未见公开绩效目标。</w:t>
            </w:r>
          </w:p>
        </w:tc>
      </w:tr>
      <w:tr w14:paraId="3ADE6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2C602E">
            <w:pPr>
              <w:spacing w:line="240" w:lineRule="auto"/>
              <w:jc w:val="center"/>
              <w:rPr>
                <w:rFonts w:hint="eastAsia" w:asciiTheme="minorEastAsia" w:hAnsiTheme="minorEastAsia" w:eastAsiaTheme="minorEastAsia" w:cstheme="minorEastAsia"/>
                <w:color w:val="auto"/>
                <w:sz w:val="21"/>
                <w:szCs w:val="21"/>
                <w:highlight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9EE21">
            <w:pPr>
              <w:spacing w:line="240" w:lineRule="auto"/>
              <w:jc w:val="center"/>
              <w:rPr>
                <w:rFonts w:hint="eastAsia" w:asciiTheme="minorEastAsia" w:hAnsiTheme="minorEastAsia" w:eastAsiaTheme="minorEastAsia" w:cstheme="minorEastAsia"/>
                <w:color w:val="auto"/>
                <w:sz w:val="21"/>
                <w:szCs w:val="21"/>
                <w:highlight w:val="none"/>
              </w:rPr>
            </w:pPr>
          </w:p>
        </w:tc>
        <w:tc>
          <w:tcPr>
            <w:tcW w:w="1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74296">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i w:val="0"/>
                <w:iCs w:val="0"/>
                <w:color w:val="auto"/>
                <w:kern w:val="0"/>
                <w:sz w:val="21"/>
                <w:szCs w:val="21"/>
                <w:highlight w:val="none"/>
                <w:lang w:val="en-US" w:eastAsia="zh-CN" w:bidi="ar"/>
              </w:rPr>
            </w:pPr>
          </w:p>
          <w:p w14:paraId="3FD59182">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i w:val="0"/>
                <w:iCs w:val="0"/>
                <w:color w:val="auto"/>
                <w:kern w:val="0"/>
                <w:sz w:val="21"/>
                <w:szCs w:val="21"/>
                <w:highlight w:val="none"/>
                <w:lang w:val="en-US" w:eastAsia="zh-CN" w:bidi="ar"/>
              </w:rPr>
              <w:t>采购管理</w:t>
            </w:r>
          </w:p>
        </w:tc>
        <w:tc>
          <w:tcPr>
            <w:tcW w:w="16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A58A2">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i w:val="0"/>
                <w:iCs w:val="0"/>
                <w:color w:val="auto"/>
                <w:kern w:val="0"/>
                <w:sz w:val="21"/>
                <w:szCs w:val="21"/>
                <w:highlight w:val="none"/>
                <w:lang w:val="en-US" w:eastAsia="zh-CN" w:bidi="ar"/>
              </w:rPr>
            </w:pPr>
          </w:p>
          <w:p w14:paraId="44E8F038">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i w:val="0"/>
                <w:iCs w:val="0"/>
                <w:color w:val="auto"/>
                <w:kern w:val="0"/>
                <w:sz w:val="21"/>
                <w:szCs w:val="21"/>
                <w:highlight w:val="none"/>
                <w:lang w:val="en-US" w:eastAsia="zh-CN" w:bidi="ar"/>
              </w:rPr>
              <w:t>9</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F314E7">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i w:val="0"/>
                <w:iCs w:val="0"/>
                <w:color w:val="auto"/>
                <w:kern w:val="0"/>
                <w:sz w:val="21"/>
                <w:szCs w:val="21"/>
                <w:highlight w:val="none"/>
                <w:lang w:val="en-US" w:eastAsia="zh-CN" w:bidi="ar"/>
              </w:rPr>
              <w:t>政府采购执行率</w:t>
            </w:r>
          </w:p>
        </w:tc>
        <w:tc>
          <w:tcPr>
            <w:tcW w:w="1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359500">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i w:val="0"/>
                <w:iCs w:val="0"/>
                <w:color w:val="auto"/>
                <w:kern w:val="0"/>
                <w:sz w:val="21"/>
                <w:szCs w:val="21"/>
                <w:highlight w:val="none"/>
                <w:lang w:val="en-US" w:eastAsia="zh-CN" w:bidi="ar"/>
              </w:rPr>
              <w:t>3</w:t>
            </w:r>
          </w:p>
        </w:tc>
        <w:tc>
          <w:tcPr>
            <w:tcW w:w="8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D1453">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lang w:val="en-US" w:eastAsia="zh-CN" w:bidi="ar"/>
              </w:rPr>
              <w:t>部门（单位）本年度实际政府采购金额与年度政府采购预算的比率，用以反映和考核部门（单位）政府采购预算执行情况。</w:t>
            </w:r>
          </w:p>
        </w:tc>
        <w:tc>
          <w:tcPr>
            <w:tcW w:w="16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E49D7">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Theme="minorEastAsia" w:hAnsiTheme="minorEastAsia" w:eastAsiaTheme="minorEastAsia" w:cstheme="minorEastAsia"/>
                <w:i w:val="0"/>
                <w:iCs w:val="0"/>
                <w:color w:val="auto"/>
                <w:kern w:val="0"/>
                <w:sz w:val="21"/>
                <w:szCs w:val="21"/>
                <w:highlight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lang w:val="en-US" w:eastAsia="zh-CN" w:bidi="ar"/>
              </w:rPr>
              <w:t>本指标得分=本指标满分分值×政府采购执行率，其中：政府采购执行率=（实际采购金额合计数/采购计划金额合计数）×100%。</w:t>
            </w:r>
          </w:p>
          <w:p w14:paraId="0FF61558">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Theme="minorEastAsia" w:hAnsiTheme="minorEastAsia" w:eastAsiaTheme="minorEastAsia" w:cstheme="minorEastAsia"/>
                <w:i w:val="0"/>
                <w:iCs w:val="0"/>
                <w:color w:val="auto"/>
                <w:kern w:val="0"/>
                <w:sz w:val="21"/>
                <w:szCs w:val="21"/>
                <w:highlight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lang w:val="en-US" w:eastAsia="zh-CN" w:bidi="ar"/>
              </w:rPr>
              <w:t>如实际采购金额大于采购计划金额则本项不得分。</w:t>
            </w:r>
          </w:p>
          <w:p w14:paraId="3A65A9F3">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Theme="minorEastAsia" w:hAnsiTheme="minorEastAsia" w:eastAsiaTheme="minorEastAsia" w:cstheme="minorEastAsia"/>
                <w:i w:val="0"/>
                <w:iCs w:val="0"/>
                <w:color w:val="auto"/>
                <w:kern w:val="0"/>
                <w:sz w:val="21"/>
                <w:szCs w:val="21"/>
                <w:highlight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lang w:val="en-US" w:eastAsia="zh-CN" w:bidi="ar"/>
              </w:rPr>
              <w:t>政府采购预算是指采购机关根据事业发展计划和行政任务编制的、并经过规定程序批准的年度政府采购计划。</w:t>
            </w:r>
          </w:p>
        </w:tc>
        <w:tc>
          <w:tcPr>
            <w:tcW w:w="2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A1F30">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lang w:eastAsia="zh-CN" w:bidi="ar"/>
              </w:rPr>
            </w:pPr>
            <w:r>
              <w:rPr>
                <w:rFonts w:hint="eastAsia" w:asciiTheme="minorEastAsia" w:hAnsiTheme="minorEastAsia" w:eastAsiaTheme="minorEastAsia" w:cstheme="minorEastAsia"/>
                <w:i w:val="0"/>
                <w:iCs w:val="0"/>
                <w:color w:val="auto"/>
                <w:kern w:val="0"/>
                <w:sz w:val="21"/>
                <w:szCs w:val="21"/>
                <w:highlight w:val="none"/>
                <w:lang w:eastAsia="zh-CN" w:bidi="ar"/>
              </w:rPr>
              <w:t>2.95</w:t>
            </w:r>
          </w:p>
        </w:tc>
        <w:tc>
          <w:tcPr>
            <w:tcW w:w="1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DC415">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Theme="minorEastAsia" w:hAnsiTheme="minorEastAsia" w:eastAsiaTheme="minorEastAsia" w:cstheme="minorEastAsia"/>
                <w:i w:val="0"/>
                <w:iCs w:val="0"/>
                <w:color w:val="auto"/>
                <w:kern w:val="0"/>
                <w:sz w:val="21"/>
                <w:szCs w:val="21"/>
                <w:highlight w:val="none"/>
                <w:lang w:eastAsia="zh-CN" w:bidi="ar"/>
              </w:rPr>
            </w:pPr>
            <w:r>
              <w:rPr>
                <w:rFonts w:hint="eastAsia" w:asciiTheme="minorEastAsia" w:hAnsiTheme="minorEastAsia" w:eastAsiaTheme="minorEastAsia" w:cstheme="minorEastAsia"/>
                <w:i w:val="0"/>
                <w:iCs w:val="0"/>
                <w:color w:val="auto"/>
                <w:kern w:val="0"/>
                <w:sz w:val="21"/>
                <w:szCs w:val="21"/>
                <w:highlight w:val="none"/>
                <w:lang w:eastAsia="zh-CN" w:bidi="ar"/>
              </w:rPr>
              <w:t>实际政府采购金额172.39万元，年度政府采购预算175.33万元，政府采购执行率为98.32%。</w:t>
            </w:r>
          </w:p>
        </w:tc>
      </w:tr>
      <w:tr w14:paraId="39C50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B701A">
            <w:pPr>
              <w:spacing w:line="240" w:lineRule="auto"/>
              <w:jc w:val="center"/>
              <w:rPr>
                <w:rFonts w:hint="eastAsia" w:asciiTheme="minorEastAsia" w:hAnsiTheme="minorEastAsia" w:eastAsiaTheme="minorEastAsia" w:cstheme="minorEastAsia"/>
                <w:color w:val="auto"/>
                <w:sz w:val="21"/>
                <w:szCs w:val="21"/>
                <w:highlight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58DA4">
            <w:pPr>
              <w:spacing w:line="240" w:lineRule="auto"/>
              <w:jc w:val="center"/>
              <w:rPr>
                <w:rFonts w:hint="eastAsia" w:asciiTheme="minorEastAsia" w:hAnsiTheme="minorEastAsia" w:eastAsiaTheme="minorEastAsia" w:cstheme="minorEastAsia"/>
                <w:color w:val="auto"/>
                <w:sz w:val="21"/>
                <w:szCs w:val="21"/>
                <w:highlight w:val="none"/>
              </w:rPr>
            </w:pPr>
          </w:p>
        </w:tc>
        <w:tc>
          <w:tcPr>
            <w:tcW w:w="1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022B30">
            <w:pPr>
              <w:spacing w:line="240" w:lineRule="auto"/>
              <w:jc w:val="center"/>
              <w:rPr>
                <w:rFonts w:hint="eastAsia" w:asciiTheme="minorEastAsia" w:hAnsiTheme="minorEastAsia" w:eastAsiaTheme="minorEastAsia" w:cstheme="minorEastAsia"/>
                <w:color w:val="auto"/>
                <w:sz w:val="21"/>
                <w:szCs w:val="21"/>
                <w:highlight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D90FD">
            <w:pPr>
              <w:spacing w:line="240" w:lineRule="auto"/>
              <w:jc w:val="center"/>
              <w:rPr>
                <w:rFonts w:hint="eastAsia" w:asciiTheme="minorEastAsia" w:hAnsiTheme="minorEastAsia" w:eastAsiaTheme="minorEastAsia" w:cstheme="minorEastAsia"/>
                <w:color w:val="auto"/>
                <w:sz w:val="21"/>
                <w:szCs w:val="21"/>
                <w:highlight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CD381">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i w:val="0"/>
                <w:iCs w:val="0"/>
                <w:color w:val="auto"/>
                <w:kern w:val="0"/>
                <w:sz w:val="21"/>
                <w:szCs w:val="21"/>
                <w:highlight w:val="none"/>
                <w:lang w:val="en-US" w:eastAsia="zh-CN" w:bidi="ar"/>
              </w:rPr>
              <w:t>采购合规性</w:t>
            </w:r>
          </w:p>
        </w:tc>
        <w:tc>
          <w:tcPr>
            <w:tcW w:w="1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26485">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i w:val="0"/>
                <w:iCs w:val="0"/>
                <w:color w:val="auto"/>
                <w:kern w:val="0"/>
                <w:sz w:val="21"/>
                <w:szCs w:val="21"/>
                <w:highlight w:val="none"/>
                <w:lang w:val="en-US" w:eastAsia="zh-CN" w:bidi="ar"/>
              </w:rPr>
              <w:t>6</w:t>
            </w:r>
          </w:p>
        </w:tc>
        <w:tc>
          <w:tcPr>
            <w:tcW w:w="8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1D5C9D">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lang w:val="en-US" w:eastAsia="zh-CN" w:bidi="ar"/>
              </w:rPr>
              <w:t>反映采购意向公开、合同备案公开等流程合规情况。</w:t>
            </w:r>
          </w:p>
        </w:tc>
        <w:tc>
          <w:tcPr>
            <w:tcW w:w="16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892C65">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Theme="minorEastAsia" w:hAnsiTheme="minorEastAsia" w:eastAsiaTheme="minorEastAsia" w:cstheme="minorEastAsia"/>
                <w:i w:val="0"/>
                <w:iCs w:val="0"/>
                <w:color w:val="auto"/>
                <w:kern w:val="0"/>
                <w:sz w:val="21"/>
                <w:szCs w:val="21"/>
                <w:highlight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lang w:val="en-US" w:eastAsia="zh-CN" w:bidi="ar"/>
              </w:rPr>
              <w:t>1.建立政府采购内控制度。对照《广东省预算单位政府采购活动内部控制事项清单》完成本单位政府采购内部控制管理制度建设并形成正式文件，报区财政局备案的，得1分，否则不得分；</w:t>
            </w:r>
          </w:p>
          <w:p w14:paraId="66ACD5AC">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Theme="minorEastAsia" w:hAnsiTheme="minorEastAsia" w:eastAsiaTheme="minorEastAsia" w:cstheme="minorEastAsia"/>
                <w:i w:val="0"/>
                <w:iCs w:val="0"/>
                <w:color w:val="auto"/>
                <w:kern w:val="0"/>
                <w:sz w:val="21"/>
                <w:szCs w:val="21"/>
                <w:highlight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lang w:val="en-US" w:eastAsia="zh-CN" w:bidi="ar"/>
              </w:rPr>
              <w:t>2.按照《关于开展政府采购意向公开工作的通知》（财库〔2020〕10号）中“按项目实施的集中采购目录以内或者采购限额标准以上的货物、工程、服务采购均应当公开采购意向”的要求，应该公开采购的项目公开率100%，且采购意向公开时限不晚于采购活动开始前30日的，得1分，否则不得分；</w:t>
            </w:r>
          </w:p>
          <w:p w14:paraId="4FDB21A0">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Theme="minorEastAsia" w:hAnsiTheme="minorEastAsia" w:eastAsiaTheme="minorEastAsia" w:cstheme="minorEastAsia"/>
                <w:i w:val="0"/>
                <w:iCs w:val="0"/>
                <w:color w:val="auto"/>
                <w:kern w:val="0"/>
                <w:sz w:val="21"/>
                <w:szCs w:val="21"/>
                <w:highlight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lang w:val="en-US" w:eastAsia="zh-CN" w:bidi="ar"/>
              </w:rPr>
              <w:t>3.合同备案公开，自政府采购合同签订之日起2个工作日在“广东省政府采购网”备案公开，符合规定的得1分，否则不得分；</w:t>
            </w:r>
          </w:p>
          <w:p w14:paraId="75B132A8">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Theme="minorEastAsia" w:hAnsiTheme="minorEastAsia" w:eastAsiaTheme="minorEastAsia" w:cstheme="minorEastAsia"/>
                <w:i w:val="0"/>
                <w:iCs w:val="0"/>
                <w:color w:val="auto"/>
                <w:kern w:val="0"/>
                <w:sz w:val="21"/>
                <w:szCs w:val="21"/>
                <w:highlight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lang w:val="en-US" w:eastAsia="zh-CN" w:bidi="ar"/>
              </w:rPr>
              <w:t>4.按时上报政府采购信息统计报表的，得1分，否则不得分；</w:t>
            </w:r>
          </w:p>
          <w:p w14:paraId="2CEA26A3">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Theme="minorEastAsia" w:hAnsiTheme="minorEastAsia" w:eastAsiaTheme="minorEastAsia" w:cstheme="minorEastAsia"/>
                <w:i w:val="0"/>
                <w:iCs w:val="0"/>
                <w:color w:val="auto"/>
                <w:kern w:val="0"/>
                <w:sz w:val="21"/>
                <w:szCs w:val="21"/>
                <w:highlight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lang w:val="en-US" w:eastAsia="zh-CN" w:bidi="ar"/>
              </w:rPr>
              <w:t>5.在脱贫地区农副产品网络销售平台（即“832平台”）进行采购的，得1分；部门所采购的产品不涉及脱贫地区农副产品，本项1分权重调整至第4项，即第4项权重为2分；</w:t>
            </w:r>
          </w:p>
          <w:p w14:paraId="6E3F01E6">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lang w:val="en-US" w:eastAsia="zh-CN" w:bidi="ar"/>
              </w:rPr>
              <w:t>6.A=中小企业政府采购合同金额/全年政府采购合同金额*100%；B=小微企业政府采购合同金额/中小企业政府采购合同金额；若A≥40%且B≥70%的，得1分，否则不得分。</w:t>
            </w:r>
          </w:p>
        </w:tc>
        <w:tc>
          <w:tcPr>
            <w:tcW w:w="2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C85BB">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lang w:eastAsia="zh-CN" w:bidi="ar"/>
              </w:rPr>
            </w:pPr>
            <w:r>
              <w:rPr>
                <w:rFonts w:hint="eastAsia" w:asciiTheme="minorEastAsia" w:hAnsiTheme="minorEastAsia" w:eastAsiaTheme="minorEastAsia" w:cstheme="minorEastAsia"/>
                <w:i w:val="0"/>
                <w:iCs w:val="0"/>
                <w:color w:val="auto"/>
                <w:kern w:val="0"/>
                <w:sz w:val="21"/>
                <w:szCs w:val="21"/>
                <w:highlight w:val="none"/>
                <w:lang w:eastAsia="zh-CN" w:bidi="ar"/>
              </w:rPr>
              <w:t>6</w:t>
            </w:r>
          </w:p>
        </w:tc>
        <w:tc>
          <w:tcPr>
            <w:tcW w:w="1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83148">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Theme="minorEastAsia" w:hAnsiTheme="minorEastAsia" w:eastAsiaTheme="minorEastAsia" w:cstheme="minorEastAsia"/>
                <w:i w:val="0"/>
                <w:iCs w:val="0"/>
                <w:color w:val="auto"/>
                <w:kern w:val="0"/>
                <w:sz w:val="21"/>
                <w:szCs w:val="21"/>
                <w:highlight w:val="none"/>
                <w:lang w:eastAsia="zh-CN" w:bidi="ar"/>
              </w:rPr>
            </w:pPr>
            <w:r>
              <w:rPr>
                <w:rFonts w:hint="eastAsia" w:asciiTheme="minorEastAsia" w:hAnsiTheme="minorEastAsia" w:eastAsiaTheme="minorEastAsia" w:cstheme="minorEastAsia"/>
                <w:i w:val="0"/>
                <w:iCs w:val="0"/>
                <w:color w:val="auto"/>
                <w:kern w:val="0"/>
                <w:sz w:val="21"/>
                <w:szCs w:val="21"/>
                <w:highlight w:val="none"/>
                <w:lang w:eastAsia="zh-CN" w:bidi="ar"/>
              </w:rPr>
              <w:t>根据预算单位采购活动的内控要求，设立了《梅州市梅江区人民政府西郊街道办事处单位内控制度》，有相关的制度保障。较好的做到政府采购意向公开。并能根据合同备案公开要求，在省采购网公开相关信息。</w:t>
            </w:r>
          </w:p>
        </w:tc>
      </w:tr>
      <w:tr w14:paraId="3381C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B34295">
            <w:pPr>
              <w:spacing w:line="240" w:lineRule="auto"/>
              <w:jc w:val="center"/>
              <w:rPr>
                <w:rFonts w:hint="eastAsia" w:asciiTheme="minorEastAsia" w:hAnsiTheme="minorEastAsia" w:eastAsiaTheme="minorEastAsia" w:cstheme="minorEastAsia"/>
                <w:color w:val="auto"/>
                <w:sz w:val="21"/>
                <w:szCs w:val="21"/>
                <w:highlight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5B36C">
            <w:pPr>
              <w:spacing w:line="240" w:lineRule="auto"/>
              <w:jc w:val="center"/>
              <w:rPr>
                <w:rFonts w:hint="eastAsia" w:asciiTheme="minorEastAsia" w:hAnsiTheme="minorEastAsia" w:eastAsiaTheme="minorEastAsia" w:cstheme="minorEastAsia"/>
                <w:color w:val="auto"/>
                <w:sz w:val="21"/>
                <w:szCs w:val="21"/>
                <w:highlight w:val="none"/>
              </w:rPr>
            </w:pPr>
          </w:p>
        </w:tc>
        <w:tc>
          <w:tcPr>
            <w:tcW w:w="1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FCD27">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i w:val="0"/>
                <w:iCs w:val="0"/>
                <w:color w:val="auto"/>
                <w:kern w:val="0"/>
                <w:sz w:val="21"/>
                <w:szCs w:val="21"/>
                <w:highlight w:val="none"/>
                <w:lang w:val="en-US" w:eastAsia="zh-CN" w:bidi="ar"/>
              </w:rPr>
            </w:pPr>
          </w:p>
          <w:p w14:paraId="5D1397A9">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i w:val="0"/>
                <w:iCs w:val="0"/>
                <w:color w:val="auto"/>
                <w:kern w:val="0"/>
                <w:sz w:val="21"/>
                <w:szCs w:val="21"/>
                <w:highlight w:val="none"/>
                <w:lang w:val="en-US" w:eastAsia="zh-CN" w:bidi="ar"/>
              </w:rPr>
            </w:pPr>
          </w:p>
          <w:p w14:paraId="4055D296">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i w:val="0"/>
                <w:iCs w:val="0"/>
                <w:color w:val="auto"/>
                <w:kern w:val="0"/>
                <w:sz w:val="21"/>
                <w:szCs w:val="21"/>
                <w:highlight w:val="none"/>
                <w:lang w:val="en-US" w:eastAsia="zh-CN" w:bidi="ar"/>
              </w:rPr>
            </w:pPr>
          </w:p>
          <w:p w14:paraId="4970CFC8">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i w:val="0"/>
                <w:iCs w:val="0"/>
                <w:color w:val="auto"/>
                <w:kern w:val="0"/>
                <w:sz w:val="21"/>
                <w:szCs w:val="21"/>
                <w:highlight w:val="none"/>
                <w:lang w:val="en-US" w:eastAsia="zh-CN" w:bidi="ar"/>
              </w:rPr>
            </w:pPr>
          </w:p>
          <w:p w14:paraId="7954A21F">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i w:val="0"/>
                <w:iCs w:val="0"/>
                <w:color w:val="auto"/>
                <w:kern w:val="0"/>
                <w:sz w:val="21"/>
                <w:szCs w:val="21"/>
                <w:highlight w:val="none"/>
                <w:lang w:val="en-US" w:eastAsia="zh-CN" w:bidi="ar"/>
              </w:rPr>
            </w:pPr>
          </w:p>
          <w:p w14:paraId="17F3FBE4">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i w:val="0"/>
                <w:iCs w:val="0"/>
                <w:color w:val="auto"/>
                <w:kern w:val="0"/>
                <w:sz w:val="21"/>
                <w:szCs w:val="21"/>
                <w:highlight w:val="none"/>
                <w:lang w:val="en-US" w:eastAsia="zh-CN" w:bidi="ar"/>
              </w:rPr>
            </w:pPr>
          </w:p>
          <w:p w14:paraId="5032F6AB">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i w:val="0"/>
                <w:iCs w:val="0"/>
                <w:color w:val="auto"/>
                <w:kern w:val="0"/>
                <w:sz w:val="21"/>
                <w:szCs w:val="21"/>
                <w:highlight w:val="none"/>
                <w:lang w:val="en-US" w:eastAsia="zh-CN" w:bidi="ar"/>
              </w:rPr>
            </w:pPr>
          </w:p>
          <w:p w14:paraId="02AEF9C1">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i w:val="0"/>
                <w:iCs w:val="0"/>
                <w:color w:val="auto"/>
                <w:kern w:val="0"/>
                <w:sz w:val="21"/>
                <w:szCs w:val="21"/>
                <w:highlight w:val="none"/>
                <w:lang w:val="en-US" w:eastAsia="zh-CN" w:bidi="ar"/>
              </w:rPr>
            </w:pPr>
          </w:p>
          <w:p w14:paraId="57CA3FCC">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i w:val="0"/>
                <w:iCs w:val="0"/>
                <w:color w:val="auto"/>
                <w:kern w:val="0"/>
                <w:sz w:val="21"/>
                <w:szCs w:val="21"/>
                <w:highlight w:val="none"/>
                <w:lang w:val="en-US" w:eastAsia="zh-CN" w:bidi="ar"/>
              </w:rPr>
              <w:t>项目管理</w:t>
            </w:r>
          </w:p>
        </w:tc>
        <w:tc>
          <w:tcPr>
            <w:tcW w:w="16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8E0CA">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i w:val="0"/>
                <w:iCs w:val="0"/>
                <w:color w:val="auto"/>
                <w:kern w:val="0"/>
                <w:sz w:val="21"/>
                <w:szCs w:val="21"/>
                <w:highlight w:val="none"/>
                <w:lang w:val="en-US" w:eastAsia="zh-CN" w:bidi="ar"/>
              </w:rPr>
            </w:pPr>
          </w:p>
          <w:p w14:paraId="2F15F85D">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i w:val="0"/>
                <w:iCs w:val="0"/>
                <w:color w:val="auto"/>
                <w:kern w:val="0"/>
                <w:sz w:val="21"/>
                <w:szCs w:val="21"/>
                <w:highlight w:val="none"/>
                <w:lang w:val="en-US" w:eastAsia="zh-CN" w:bidi="ar"/>
              </w:rPr>
            </w:pPr>
          </w:p>
          <w:p w14:paraId="4AB0D461">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i w:val="0"/>
                <w:iCs w:val="0"/>
                <w:color w:val="auto"/>
                <w:kern w:val="0"/>
                <w:sz w:val="21"/>
                <w:szCs w:val="21"/>
                <w:highlight w:val="none"/>
                <w:lang w:val="en-US" w:eastAsia="zh-CN" w:bidi="ar"/>
              </w:rPr>
            </w:pPr>
          </w:p>
          <w:p w14:paraId="78E7640C">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i w:val="0"/>
                <w:iCs w:val="0"/>
                <w:color w:val="auto"/>
                <w:kern w:val="0"/>
                <w:sz w:val="21"/>
                <w:szCs w:val="21"/>
                <w:highlight w:val="none"/>
                <w:lang w:val="en-US" w:eastAsia="zh-CN" w:bidi="ar"/>
              </w:rPr>
            </w:pPr>
          </w:p>
          <w:p w14:paraId="78AB6D23">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i w:val="0"/>
                <w:iCs w:val="0"/>
                <w:color w:val="auto"/>
                <w:kern w:val="0"/>
                <w:sz w:val="21"/>
                <w:szCs w:val="21"/>
                <w:highlight w:val="none"/>
                <w:lang w:val="en-US" w:eastAsia="zh-CN" w:bidi="ar"/>
              </w:rPr>
            </w:pPr>
          </w:p>
          <w:p w14:paraId="3A6D0867">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i w:val="0"/>
                <w:iCs w:val="0"/>
                <w:color w:val="auto"/>
                <w:kern w:val="0"/>
                <w:sz w:val="21"/>
                <w:szCs w:val="21"/>
                <w:highlight w:val="none"/>
                <w:lang w:val="en-US" w:eastAsia="zh-CN" w:bidi="ar"/>
              </w:rPr>
            </w:pPr>
          </w:p>
          <w:p w14:paraId="65DD8D3C">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i w:val="0"/>
                <w:iCs w:val="0"/>
                <w:color w:val="auto"/>
                <w:kern w:val="0"/>
                <w:sz w:val="21"/>
                <w:szCs w:val="21"/>
                <w:highlight w:val="none"/>
                <w:lang w:val="en-US" w:eastAsia="zh-CN" w:bidi="ar"/>
              </w:rPr>
            </w:pPr>
          </w:p>
          <w:p w14:paraId="59D10A45">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i w:val="0"/>
                <w:iCs w:val="0"/>
                <w:color w:val="auto"/>
                <w:kern w:val="0"/>
                <w:sz w:val="21"/>
                <w:szCs w:val="21"/>
                <w:highlight w:val="none"/>
                <w:lang w:val="en-US" w:eastAsia="zh-CN" w:bidi="ar"/>
              </w:rPr>
            </w:pPr>
          </w:p>
          <w:p w14:paraId="2288B610">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i w:val="0"/>
                <w:iCs w:val="0"/>
                <w:color w:val="auto"/>
                <w:kern w:val="0"/>
                <w:sz w:val="21"/>
                <w:szCs w:val="21"/>
                <w:highlight w:val="none"/>
                <w:lang w:val="en-US" w:eastAsia="zh-CN" w:bidi="ar"/>
              </w:rPr>
              <w:t>21</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EA56D1">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i w:val="0"/>
                <w:iCs w:val="0"/>
                <w:color w:val="auto"/>
                <w:kern w:val="0"/>
                <w:sz w:val="21"/>
                <w:szCs w:val="21"/>
                <w:highlight w:val="none"/>
                <w:lang w:val="en-US" w:eastAsia="zh-CN" w:bidi="ar"/>
              </w:rPr>
              <w:t>项目资金绩效完成情况</w:t>
            </w:r>
          </w:p>
        </w:tc>
        <w:tc>
          <w:tcPr>
            <w:tcW w:w="1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E8C76">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i w:val="0"/>
                <w:iCs w:val="0"/>
                <w:color w:val="auto"/>
                <w:kern w:val="0"/>
                <w:sz w:val="21"/>
                <w:szCs w:val="21"/>
                <w:highlight w:val="none"/>
                <w:lang w:val="en-US" w:eastAsia="zh-CN" w:bidi="ar"/>
              </w:rPr>
              <w:t>8</w:t>
            </w:r>
          </w:p>
        </w:tc>
        <w:tc>
          <w:tcPr>
            <w:tcW w:w="8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6A4F97">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lang w:val="en-US" w:eastAsia="zh-CN" w:bidi="ar"/>
              </w:rPr>
              <w:t>反映部门项目资金绩效目标的完成情况。</w:t>
            </w:r>
          </w:p>
        </w:tc>
        <w:tc>
          <w:tcPr>
            <w:tcW w:w="16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91D57">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Theme="minorEastAsia" w:hAnsiTheme="minorEastAsia" w:eastAsiaTheme="minorEastAsia" w:cstheme="minorEastAsia"/>
                <w:i w:val="0"/>
                <w:iCs w:val="0"/>
                <w:color w:val="auto"/>
                <w:kern w:val="0"/>
                <w:sz w:val="21"/>
                <w:szCs w:val="21"/>
                <w:highlight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lang w:val="en-US" w:eastAsia="zh-CN" w:bidi="ar"/>
              </w:rPr>
              <w:t>1.先计算各项目资金得分=各项目资金单位绩效自评复核分数×本指标分值÷100。</w:t>
            </w:r>
          </w:p>
          <w:p w14:paraId="1143421D">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Theme="minorEastAsia" w:hAnsiTheme="minorEastAsia" w:eastAsiaTheme="minorEastAsia" w:cstheme="minorEastAsia"/>
                <w:i w:val="0"/>
                <w:iCs w:val="0"/>
                <w:color w:val="auto"/>
                <w:kern w:val="0"/>
                <w:sz w:val="21"/>
                <w:szCs w:val="21"/>
                <w:highlight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lang w:val="en-US" w:eastAsia="zh-CN" w:bidi="ar"/>
              </w:rPr>
              <w:t>2.再计算本指标综合得分=按照部门当年度各项目资金额度占部门所有项目资金额度的比重，对各项目资金得分进行加权平均。</w:t>
            </w:r>
          </w:p>
          <w:p w14:paraId="625B30B8">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lang w:val="en-US" w:eastAsia="zh-CN" w:bidi="ar"/>
              </w:rPr>
              <w:t>3.对项目评分表中效率性及效果性未设置有相应的指标名称及个性化指标值内容，评分依据空白的，酌情扣分。</w:t>
            </w:r>
          </w:p>
        </w:tc>
        <w:tc>
          <w:tcPr>
            <w:tcW w:w="2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6AF5C">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lang w:eastAsia="zh-CN" w:bidi="ar"/>
              </w:rPr>
            </w:pPr>
            <w:r>
              <w:rPr>
                <w:rFonts w:hint="eastAsia" w:asciiTheme="minorEastAsia" w:hAnsiTheme="minorEastAsia" w:eastAsiaTheme="minorEastAsia" w:cstheme="minorEastAsia"/>
                <w:i w:val="0"/>
                <w:iCs w:val="0"/>
                <w:color w:val="auto"/>
                <w:kern w:val="0"/>
                <w:sz w:val="21"/>
                <w:szCs w:val="21"/>
                <w:highlight w:val="none"/>
                <w:lang w:eastAsia="zh-CN" w:bidi="ar"/>
              </w:rPr>
              <w:t>2.58</w:t>
            </w:r>
          </w:p>
        </w:tc>
        <w:tc>
          <w:tcPr>
            <w:tcW w:w="1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FDC68">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Theme="minorEastAsia" w:hAnsiTheme="minorEastAsia" w:eastAsiaTheme="minorEastAsia" w:cstheme="minorEastAsia"/>
                <w:i w:val="0"/>
                <w:iCs w:val="0"/>
                <w:color w:val="auto"/>
                <w:kern w:val="0"/>
                <w:sz w:val="21"/>
                <w:szCs w:val="21"/>
                <w:highlight w:val="none"/>
                <w:lang w:eastAsia="zh-CN" w:bidi="ar"/>
              </w:rPr>
            </w:pPr>
            <w:r>
              <w:rPr>
                <w:rFonts w:hint="eastAsia" w:asciiTheme="minorEastAsia" w:hAnsiTheme="minorEastAsia" w:eastAsiaTheme="minorEastAsia" w:cstheme="minorEastAsia"/>
                <w:i w:val="0"/>
                <w:iCs w:val="0"/>
                <w:color w:val="auto"/>
                <w:kern w:val="0"/>
                <w:sz w:val="21"/>
                <w:szCs w:val="21"/>
                <w:highlight w:val="none"/>
                <w:lang w:eastAsia="zh-CN" w:bidi="ar"/>
              </w:rPr>
              <w:t>经评价组评审《老旧小区修缮》和《补助支出》项目基本达到预期目标，对提升居民生活幸福度、城市形象和加深梅江苏区的历史记忆有一定的正向作用。但未能提供《各村社区创文、疫情防控、抢险救灾支出，望杏坊建设工作经费，办事处创文、疫情防控支出》项目的自评表和相应的佐证材料。</w:t>
            </w:r>
          </w:p>
        </w:tc>
      </w:tr>
      <w:tr w14:paraId="2A0DC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96" w:hRule="atLeast"/>
          <w:jc w:val="center"/>
        </w:trPr>
        <w:tc>
          <w:tcPr>
            <w:tcW w:w="1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C09145">
            <w:pPr>
              <w:spacing w:line="240" w:lineRule="auto"/>
              <w:jc w:val="center"/>
              <w:rPr>
                <w:rFonts w:hint="eastAsia" w:asciiTheme="minorEastAsia" w:hAnsiTheme="minorEastAsia" w:eastAsiaTheme="minorEastAsia" w:cstheme="minorEastAsia"/>
                <w:color w:val="auto"/>
                <w:sz w:val="21"/>
                <w:szCs w:val="21"/>
                <w:highlight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625F2">
            <w:pPr>
              <w:spacing w:line="240" w:lineRule="auto"/>
              <w:jc w:val="center"/>
              <w:rPr>
                <w:rFonts w:hint="eastAsia" w:asciiTheme="minorEastAsia" w:hAnsiTheme="minorEastAsia" w:eastAsiaTheme="minorEastAsia" w:cstheme="minorEastAsia"/>
                <w:color w:val="auto"/>
                <w:sz w:val="21"/>
                <w:szCs w:val="21"/>
                <w:highlight w:val="none"/>
              </w:rPr>
            </w:pPr>
          </w:p>
        </w:tc>
        <w:tc>
          <w:tcPr>
            <w:tcW w:w="1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9D619A">
            <w:pPr>
              <w:spacing w:line="240" w:lineRule="auto"/>
              <w:jc w:val="center"/>
              <w:rPr>
                <w:rFonts w:hint="eastAsia" w:asciiTheme="minorEastAsia" w:hAnsiTheme="minorEastAsia" w:eastAsiaTheme="minorEastAsia" w:cstheme="minorEastAsia"/>
                <w:color w:val="auto"/>
                <w:sz w:val="21"/>
                <w:szCs w:val="21"/>
                <w:highlight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BD7F8">
            <w:pPr>
              <w:spacing w:line="240" w:lineRule="auto"/>
              <w:jc w:val="center"/>
              <w:rPr>
                <w:rFonts w:hint="eastAsia" w:asciiTheme="minorEastAsia" w:hAnsiTheme="minorEastAsia" w:eastAsiaTheme="minorEastAsia" w:cstheme="minorEastAsia"/>
                <w:color w:val="auto"/>
                <w:sz w:val="21"/>
                <w:szCs w:val="21"/>
                <w:highlight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025F69">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i w:val="0"/>
                <w:iCs w:val="0"/>
                <w:color w:val="auto"/>
                <w:kern w:val="0"/>
                <w:sz w:val="21"/>
                <w:szCs w:val="21"/>
                <w:highlight w:val="none"/>
                <w:lang w:val="en-US" w:eastAsia="zh-CN" w:bidi="ar"/>
              </w:rPr>
              <w:t>项目实施程序</w:t>
            </w:r>
          </w:p>
        </w:tc>
        <w:tc>
          <w:tcPr>
            <w:tcW w:w="1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4E33C6">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i w:val="0"/>
                <w:iCs w:val="0"/>
                <w:color w:val="auto"/>
                <w:kern w:val="0"/>
                <w:sz w:val="21"/>
                <w:szCs w:val="21"/>
                <w:highlight w:val="none"/>
                <w:lang w:val="en-US" w:eastAsia="zh-CN" w:bidi="ar"/>
              </w:rPr>
              <w:t>5</w:t>
            </w:r>
          </w:p>
        </w:tc>
        <w:tc>
          <w:tcPr>
            <w:tcW w:w="8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E7CE7">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lang w:val="en-US" w:eastAsia="zh-CN" w:bidi="ar"/>
              </w:rPr>
              <w:t>反映部门（单位）项目支出实施过程是否规范,包括是否符合申报条件；申报、批复程序是否符合相关管理办法；项目招投标、调整、完成验收等是否履行相应手续等</w:t>
            </w:r>
          </w:p>
        </w:tc>
        <w:tc>
          <w:tcPr>
            <w:tcW w:w="16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9508A">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Theme="minorEastAsia" w:hAnsiTheme="minorEastAsia" w:eastAsiaTheme="minorEastAsia" w:cstheme="minorEastAsia"/>
                <w:i w:val="0"/>
                <w:iCs w:val="0"/>
                <w:color w:val="auto"/>
                <w:kern w:val="0"/>
                <w:sz w:val="21"/>
                <w:szCs w:val="21"/>
                <w:highlight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lang w:val="en-US" w:eastAsia="zh-CN" w:bidi="ar"/>
              </w:rPr>
              <w:t>1.项目的设立及调整按规定履行报批程序，得2分；</w:t>
            </w:r>
          </w:p>
          <w:p w14:paraId="6C53B8C1">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lang w:val="en-US" w:eastAsia="zh-CN" w:bidi="ar"/>
              </w:rPr>
              <w:t>2.项目招投标、建设、验收等方案实施严格执行相关制度规定的，得3分；评价时发现有项目不符合上述条件的，酌情扣分。</w:t>
            </w:r>
          </w:p>
        </w:tc>
        <w:tc>
          <w:tcPr>
            <w:tcW w:w="2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30448">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lang w:eastAsia="zh-CN" w:bidi="ar"/>
              </w:rPr>
            </w:pPr>
            <w:r>
              <w:rPr>
                <w:rFonts w:hint="eastAsia" w:asciiTheme="minorEastAsia" w:hAnsiTheme="minorEastAsia" w:eastAsiaTheme="minorEastAsia" w:cstheme="minorEastAsia"/>
                <w:i w:val="0"/>
                <w:iCs w:val="0"/>
                <w:color w:val="auto"/>
                <w:kern w:val="0"/>
                <w:sz w:val="21"/>
                <w:szCs w:val="21"/>
                <w:highlight w:val="none"/>
                <w:lang w:eastAsia="zh-CN" w:bidi="ar"/>
              </w:rPr>
              <w:t>4</w:t>
            </w:r>
          </w:p>
        </w:tc>
        <w:tc>
          <w:tcPr>
            <w:tcW w:w="1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C2C06">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Theme="minorEastAsia" w:hAnsiTheme="minorEastAsia" w:eastAsiaTheme="minorEastAsia" w:cstheme="minorEastAsia"/>
                <w:i w:val="0"/>
                <w:iCs w:val="0"/>
                <w:color w:val="auto"/>
                <w:kern w:val="0"/>
                <w:sz w:val="21"/>
                <w:szCs w:val="21"/>
                <w:highlight w:val="none"/>
                <w:lang w:eastAsia="zh-CN" w:bidi="ar"/>
              </w:rPr>
            </w:pPr>
            <w:r>
              <w:rPr>
                <w:rFonts w:hint="eastAsia" w:asciiTheme="minorEastAsia" w:hAnsiTheme="minorEastAsia" w:eastAsiaTheme="minorEastAsia" w:cstheme="minorEastAsia"/>
                <w:i w:val="0"/>
                <w:iCs w:val="0"/>
                <w:color w:val="auto"/>
                <w:kern w:val="0"/>
                <w:sz w:val="21"/>
                <w:szCs w:val="21"/>
                <w:highlight w:val="none"/>
                <w:lang w:eastAsia="zh-CN" w:bidi="ar"/>
              </w:rPr>
              <w:t>项目基本为恒常性项目，但立项依据及佐证不完整，绩效目标不明确。</w:t>
            </w:r>
          </w:p>
        </w:tc>
      </w:tr>
      <w:tr w14:paraId="10A70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94" w:hRule="atLeast"/>
          <w:jc w:val="center"/>
        </w:trPr>
        <w:tc>
          <w:tcPr>
            <w:tcW w:w="1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E557E">
            <w:pPr>
              <w:spacing w:line="240" w:lineRule="auto"/>
              <w:jc w:val="center"/>
              <w:rPr>
                <w:rFonts w:hint="eastAsia" w:asciiTheme="minorEastAsia" w:hAnsiTheme="minorEastAsia" w:eastAsiaTheme="minorEastAsia" w:cstheme="minorEastAsia"/>
                <w:color w:val="auto"/>
                <w:sz w:val="21"/>
                <w:szCs w:val="21"/>
                <w:highlight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98324">
            <w:pPr>
              <w:spacing w:line="240" w:lineRule="auto"/>
              <w:jc w:val="center"/>
              <w:rPr>
                <w:rFonts w:hint="eastAsia" w:asciiTheme="minorEastAsia" w:hAnsiTheme="minorEastAsia" w:eastAsiaTheme="minorEastAsia" w:cstheme="minorEastAsia"/>
                <w:color w:val="auto"/>
                <w:sz w:val="21"/>
                <w:szCs w:val="21"/>
                <w:highlight w:val="none"/>
              </w:rPr>
            </w:pPr>
          </w:p>
        </w:tc>
        <w:tc>
          <w:tcPr>
            <w:tcW w:w="1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D06A8B">
            <w:pPr>
              <w:spacing w:line="240" w:lineRule="auto"/>
              <w:jc w:val="center"/>
              <w:rPr>
                <w:rFonts w:hint="eastAsia" w:asciiTheme="minorEastAsia" w:hAnsiTheme="minorEastAsia" w:eastAsiaTheme="minorEastAsia" w:cstheme="minorEastAsia"/>
                <w:color w:val="auto"/>
                <w:sz w:val="21"/>
                <w:szCs w:val="21"/>
                <w:highlight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BC1A9">
            <w:pPr>
              <w:spacing w:line="240" w:lineRule="auto"/>
              <w:jc w:val="center"/>
              <w:rPr>
                <w:rFonts w:hint="eastAsia" w:asciiTheme="minorEastAsia" w:hAnsiTheme="minorEastAsia" w:eastAsiaTheme="minorEastAsia" w:cstheme="minorEastAsia"/>
                <w:color w:val="auto"/>
                <w:sz w:val="21"/>
                <w:szCs w:val="21"/>
                <w:highlight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D154A">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i w:val="0"/>
                <w:iCs w:val="0"/>
                <w:color w:val="auto"/>
                <w:kern w:val="0"/>
                <w:sz w:val="21"/>
                <w:szCs w:val="21"/>
                <w:highlight w:val="none"/>
                <w:lang w:val="en-US" w:eastAsia="zh-CN" w:bidi="ar"/>
              </w:rPr>
              <w:t>项目监管</w:t>
            </w:r>
          </w:p>
        </w:tc>
        <w:tc>
          <w:tcPr>
            <w:tcW w:w="1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59CB4">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i w:val="0"/>
                <w:iCs w:val="0"/>
                <w:color w:val="auto"/>
                <w:kern w:val="0"/>
                <w:sz w:val="21"/>
                <w:szCs w:val="21"/>
                <w:highlight w:val="none"/>
                <w:lang w:val="en-US" w:eastAsia="zh-CN" w:bidi="ar"/>
              </w:rPr>
              <w:t>8</w:t>
            </w:r>
          </w:p>
        </w:tc>
        <w:tc>
          <w:tcPr>
            <w:tcW w:w="8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C29E0">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lang w:val="en-US" w:eastAsia="zh-CN" w:bidi="ar"/>
              </w:rPr>
              <w:t>反映部门（单位）对所实施项目的检查、监控、督促等管理情况。</w:t>
            </w:r>
          </w:p>
        </w:tc>
        <w:tc>
          <w:tcPr>
            <w:tcW w:w="16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F1885">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Theme="minorEastAsia" w:hAnsiTheme="minorEastAsia" w:eastAsiaTheme="minorEastAsia" w:cstheme="minorEastAsia"/>
                <w:i w:val="0"/>
                <w:iCs w:val="0"/>
                <w:color w:val="auto"/>
                <w:kern w:val="0"/>
                <w:sz w:val="21"/>
                <w:szCs w:val="21"/>
                <w:highlight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lang w:val="en-US" w:eastAsia="zh-CN" w:bidi="ar"/>
              </w:rPr>
              <w:t>按规定对项目支出的管理使用以及项目实施开展有效的监管，具体包括：</w:t>
            </w:r>
          </w:p>
          <w:p w14:paraId="03FD630E">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Theme="minorEastAsia" w:hAnsiTheme="minorEastAsia" w:eastAsiaTheme="minorEastAsia" w:cstheme="minorEastAsia"/>
                <w:i w:val="0"/>
                <w:iCs w:val="0"/>
                <w:color w:val="auto"/>
                <w:kern w:val="0"/>
                <w:sz w:val="21"/>
                <w:szCs w:val="21"/>
                <w:highlight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lang w:val="en-US" w:eastAsia="zh-CN" w:bidi="ar"/>
              </w:rPr>
              <w:t>1.有建立专项资金管理制度的，得2分；</w:t>
            </w:r>
          </w:p>
          <w:p w14:paraId="3E0959E7">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Theme="minorEastAsia" w:hAnsiTheme="minorEastAsia" w:eastAsiaTheme="minorEastAsia" w:cstheme="minorEastAsia"/>
                <w:i w:val="0"/>
                <w:iCs w:val="0"/>
                <w:color w:val="auto"/>
                <w:kern w:val="0"/>
                <w:sz w:val="21"/>
                <w:szCs w:val="21"/>
                <w:highlight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lang w:val="en-US" w:eastAsia="zh-CN" w:bidi="ar"/>
              </w:rPr>
              <w:t>2.通过汇报、现场核查等方式，对专项资金和专项经费的使用情况以及项目实施进度开展定期或不定期检查，保障资金支付进度和项目实施进度的，得1分；</w:t>
            </w:r>
          </w:p>
          <w:p w14:paraId="2AE3F93B">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Theme="minorEastAsia" w:hAnsiTheme="minorEastAsia" w:eastAsiaTheme="minorEastAsia" w:cstheme="minorEastAsia"/>
                <w:i w:val="0"/>
                <w:iCs w:val="0"/>
                <w:color w:val="auto"/>
                <w:kern w:val="0"/>
                <w:sz w:val="21"/>
                <w:szCs w:val="21"/>
                <w:highlight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lang w:val="en-US" w:eastAsia="zh-CN" w:bidi="ar"/>
              </w:rPr>
              <w:t>3.通过自行组织或委托服务等方式，结合资金和项目检查结果，及时对专项资金绩效目标的执行情况开展监控，发现与既定绩效目标发生偏离的情况并责成项目单位采取措施予以纠正的，得3分；</w:t>
            </w:r>
          </w:p>
          <w:p w14:paraId="563B256E">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Theme="minorEastAsia" w:hAnsiTheme="minorEastAsia" w:eastAsiaTheme="minorEastAsia" w:cstheme="minorEastAsia"/>
                <w:i w:val="0"/>
                <w:iCs w:val="0"/>
                <w:color w:val="auto"/>
                <w:kern w:val="0"/>
                <w:sz w:val="21"/>
                <w:szCs w:val="21"/>
                <w:highlight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lang w:val="en-US" w:eastAsia="zh-CN" w:bidi="ar"/>
              </w:rPr>
              <w:t>4.通过审计、报告等方式落实检查或监控发现问题整改到位的，得2分；</w:t>
            </w:r>
          </w:p>
          <w:p w14:paraId="3EBFD845">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lang w:val="en-US" w:eastAsia="zh-CN" w:bidi="ar"/>
              </w:rPr>
              <w:t>上述情况需提供检查、监督通知文件、委托服务合同、检查或监督工作汇报或总结、整改报告等证明材料，若发现1项工作未实施的，扣1分；若每项工作无相关证明材料支撑的，扣0.5分，扣完为止。</w:t>
            </w:r>
          </w:p>
        </w:tc>
        <w:tc>
          <w:tcPr>
            <w:tcW w:w="2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78766">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lang w:eastAsia="zh-CN" w:bidi="ar"/>
              </w:rPr>
            </w:pPr>
            <w:r>
              <w:rPr>
                <w:rFonts w:hint="eastAsia" w:asciiTheme="minorEastAsia" w:hAnsiTheme="minorEastAsia" w:eastAsiaTheme="minorEastAsia" w:cstheme="minorEastAsia"/>
                <w:i w:val="0"/>
                <w:iCs w:val="0"/>
                <w:color w:val="auto"/>
                <w:kern w:val="0"/>
                <w:sz w:val="21"/>
                <w:szCs w:val="21"/>
                <w:highlight w:val="none"/>
                <w:lang w:eastAsia="zh-CN" w:bidi="ar"/>
              </w:rPr>
              <w:t>4</w:t>
            </w:r>
          </w:p>
        </w:tc>
        <w:tc>
          <w:tcPr>
            <w:tcW w:w="1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9F174">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Theme="minorEastAsia" w:hAnsiTheme="minorEastAsia" w:eastAsiaTheme="minorEastAsia" w:cstheme="minorEastAsia"/>
                <w:i w:val="0"/>
                <w:iCs w:val="0"/>
                <w:color w:val="auto"/>
                <w:kern w:val="0"/>
                <w:sz w:val="21"/>
                <w:szCs w:val="21"/>
                <w:highlight w:val="none"/>
                <w:lang w:eastAsia="zh-CN" w:bidi="ar"/>
              </w:rPr>
            </w:pPr>
            <w:r>
              <w:rPr>
                <w:rFonts w:hint="eastAsia" w:asciiTheme="minorEastAsia" w:hAnsiTheme="minorEastAsia" w:eastAsiaTheme="minorEastAsia" w:cstheme="minorEastAsia"/>
                <w:i w:val="0"/>
                <w:iCs w:val="0"/>
                <w:color w:val="auto"/>
                <w:kern w:val="0"/>
                <w:sz w:val="21"/>
                <w:szCs w:val="21"/>
                <w:highlight w:val="none"/>
                <w:lang w:eastAsia="zh-CN" w:bidi="ar"/>
              </w:rPr>
              <w:t>未见项目《梅江区西郊街道勤力苑老旧小区周边背街小巷道路整治提升》通过汇报、现场核查等方式，对专项资金和专项经费的使用情况以及项目实施进度开展定期或不定期检查资料。存在管理制度不完整，没有开展有针对性的监督工作。</w:t>
            </w:r>
          </w:p>
        </w:tc>
      </w:tr>
      <w:tr w14:paraId="5E069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322BD7">
            <w:pPr>
              <w:spacing w:line="240" w:lineRule="auto"/>
              <w:jc w:val="center"/>
              <w:rPr>
                <w:rFonts w:hint="eastAsia" w:asciiTheme="minorEastAsia" w:hAnsiTheme="minorEastAsia" w:eastAsiaTheme="minorEastAsia" w:cstheme="minorEastAsia"/>
                <w:color w:val="auto"/>
                <w:sz w:val="21"/>
                <w:szCs w:val="21"/>
                <w:highlight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71608">
            <w:pPr>
              <w:spacing w:line="240" w:lineRule="auto"/>
              <w:jc w:val="center"/>
              <w:rPr>
                <w:rFonts w:hint="eastAsia" w:asciiTheme="minorEastAsia" w:hAnsiTheme="minorEastAsia" w:eastAsiaTheme="minorEastAsia" w:cstheme="minorEastAsia"/>
                <w:color w:val="auto"/>
                <w:sz w:val="21"/>
                <w:szCs w:val="21"/>
                <w:highlight w:val="none"/>
              </w:rPr>
            </w:pPr>
          </w:p>
        </w:tc>
        <w:tc>
          <w:tcPr>
            <w:tcW w:w="1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5769E">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i w:val="0"/>
                <w:iCs w:val="0"/>
                <w:color w:val="auto"/>
                <w:kern w:val="0"/>
                <w:sz w:val="21"/>
                <w:szCs w:val="21"/>
                <w:highlight w:val="none"/>
                <w:lang w:val="en-US" w:eastAsia="zh-CN" w:bidi="ar"/>
              </w:rPr>
            </w:pPr>
          </w:p>
          <w:p w14:paraId="3FDE2CE4">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i w:val="0"/>
                <w:iCs w:val="0"/>
                <w:color w:val="auto"/>
                <w:kern w:val="0"/>
                <w:sz w:val="21"/>
                <w:szCs w:val="21"/>
                <w:highlight w:val="none"/>
                <w:lang w:val="en-US" w:eastAsia="zh-CN" w:bidi="ar"/>
              </w:rPr>
            </w:pPr>
          </w:p>
          <w:p w14:paraId="246BD1B4">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i w:val="0"/>
                <w:iCs w:val="0"/>
                <w:color w:val="auto"/>
                <w:kern w:val="0"/>
                <w:sz w:val="21"/>
                <w:szCs w:val="21"/>
                <w:highlight w:val="none"/>
                <w:lang w:val="en-US" w:eastAsia="zh-CN" w:bidi="ar"/>
              </w:rPr>
            </w:pPr>
          </w:p>
          <w:p w14:paraId="1E4BADF5">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i w:val="0"/>
                <w:iCs w:val="0"/>
                <w:color w:val="auto"/>
                <w:kern w:val="0"/>
                <w:sz w:val="21"/>
                <w:szCs w:val="21"/>
                <w:highlight w:val="none"/>
                <w:lang w:val="en-US" w:eastAsia="zh-CN" w:bidi="ar"/>
              </w:rPr>
            </w:pPr>
          </w:p>
          <w:p w14:paraId="7E813147">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i w:val="0"/>
                <w:iCs w:val="0"/>
                <w:color w:val="auto"/>
                <w:kern w:val="0"/>
                <w:sz w:val="21"/>
                <w:szCs w:val="21"/>
                <w:highlight w:val="none"/>
                <w:lang w:val="en-US" w:eastAsia="zh-CN" w:bidi="ar"/>
              </w:rPr>
            </w:pPr>
          </w:p>
          <w:p w14:paraId="00E25D32">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i w:val="0"/>
                <w:iCs w:val="0"/>
                <w:color w:val="auto"/>
                <w:kern w:val="0"/>
                <w:sz w:val="21"/>
                <w:szCs w:val="21"/>
                <w:highlight w:val="none"/>
                <w:lang w:val="en-US" w:eastAsia="zh-CN" w:bidi="ar"/>
              </w:rPr>
            </w:pPr>
          </w:p>
          <w:p w14:paraId="217E6342">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i w:val="0"/>
                <w:iCs w:val="0"/>
                <w:color w:val="auto"/>
                <w:kern w:val="0"/>
                <w:sz w:val="21"/>
                <w:szCs w:val="21"/>
                <w:highlight w:val="none"/>
                <w:lang w:val="en-US" w:eastAsia="zh-CN" w:bidi="ar"/>
              </w:rPr>
            </w:pPr>
          </w:p>
          <w:p w14:paraId="027D0C25">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i w:val="0"/>
                <w:iCs w:val="0"/>
                <w:color w:val="auto"/>
                <w:kern w:val="0"/>
                <w:sz w:val="21"/>
                <w:szCs w:val="21"/>
                <w:highlight w:val="none"/>
                <w:lang w:val="en-US" w:eastAsia="zh-CN" w:bidi="ar"/>
              </w:rPr>
            </w:pPr>
          </w:p>
          <w:p w14:paraId="3C405B40">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i w:val="0"/>
                <w:iCs w:val="0"/>
                <w:color w:val="auto"/>
                <w:kern w:val="0"/>
                <w:sz w:val="21"/>
                <w:szCs w:val="21"/>
                <w:highlight w:val="none"/>
                <w:lang w:val="en-US" w:eastAsia="zh-CN" w:bidi="ar"/>
              </w:rPr>
            </w:pPr>
          </w:p>
          <w:p w14:paraId="1434CEDA">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i w:val="0"/>
                <w:iCs w:val="0"/>
                <w:color w:val="auto"/>
                <w:kern w:val="0"/>
                <w:sz w:val="21"/>
                <w:szCs w:val="21"/>
                <w:highlight w:val="none"/>
                <w:lang w:val="en-US" w:eastAsia="zh-CN" w:bidi="ar"/>
              </w:rPr>
              <w:t>资产管理</w:t>
            </w:r>
          </w:p>
        </w:tc>
        <w:tc>
          <w:tcPr>
            <w:tcW w:w="16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ABB5F8">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i w:val="0"/>
                <w:iCs w:val="0"/>
                <w:color w:val="auto"/>
                <w:kern w:val="0"/>
                <w:sz w:val="21"/>
                <w:szCs w:val="21"/>
                <w:highlight w:val="none"/>
                <w:lang w:val="en-US" w:eastAsia="zh-CN" w:bidi="ar"/>
              </w:rPr>
            </w:pPr>
          </w:p>
          <w:p w14:paraId="3C92EECD">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i w:val="0"/>
                <w:iCs w:val="0"/>
                <w:color w:val="auto"/>
                <w:kern w:val="0"/>
                <w:sz w:val="21"/>
                <w:szCs w:val="21"/>
                <w:highlight w:val="none"/>
                <w:lang w:val="en-US" w:eastAsia="zh-CN" w:bidi="ar"/>
              </w:rPr>
            </w:pPr>
          </w:p>
          <w:p w14:paraId="5DA77898">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i w:val="0"/>
                <w:iCs w:val="0"/>
                <w:color w:val="auto"/>
                <w:kern w:val="0"/>
                <w:sz w:val="21"/>
                <w:szCs w:val="21"/>
                <w:highlight w:val="none"/>
                <w:lang w:val="en-US" w:eastAsia="zh-CN" w:bidi="ar"/>
              </w:rPr>
            </w:pPr>
          </w:p>
          <w:p w14:paraId="47981B09">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i w:val="0"/>
                <w:iCs w:val="0"/>
                <w:color w:val="auto"/>
                <w:kern w:val="0"/>
                <w:sz w:val="21"/>
                <w:szCs w:val="21"/>
                <w:highlight w:val="none"/>
                <w:lang w:val="en-US" w:eastAsia="zh-CN" w:bidi="ar"/>
              </w:rPr>
            </w:pPr>
          </w:p>
          <w:p w14:paraId="2BFD8862">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i w:val="0"/>
                <w:iCs w:val="0"/>
                <w:color w:val="auto"/>
                <w:kern w:val="0"/>
                <w:sz w:val="21"/>
                <w:szCs w:val="21"/>
                <w:highlight w:val="none"/>
                <w:lang w:val="en-US" w:eastAsia="zh-CN" w:bidi="ar"/>
              </w:rPr>
            </w:pPr>
          </w:p>
          <w:p w14:paraId="00A00B79">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i w:val="0"/>
                <w:iCs w:val="0"/>
                <w:color w:val="auto"/>
                <w:kern w:val="0"/>
                <w:sz w:val="21"/>
                <w:szCs w:val="21"/>
                <w:highlight w:val="none"/>
                <w:lang w:val="en-US" w:eastAsia="zh-CN" w:bidi="ar"/>
              </w:rPr>
            </w:pPr>
          </w:p>
          <w:p w14:paraId="6AB2FE50">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i w:val="0"/>
                <w:iCs w:val="0"/>
                <w:color w:val="auto"/>
                <w:kern w:val="0"/>
                <w:sz w:val="21"/>
                <w:szCs w:val="21"/>
                <w:highlight w:val="none"/>
                <w:lang w:val="en-US" w:eastAsia="zh-CN" w:bidi="ar"/>
              </w:rPr>
            </w:pPr>
          </w:p>
          <w:p w14:paraId="289B0F83">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i w:val="0"/>
                <w:iCs w:val="0"/>
                <w:color w:val="auto"/>
                <w:kern w:val="0"/>
                <w:sz w:val="21"/>
                <w:szCs w:val="21"/>
                <w:highlight w:val="none"/>
                <w:lang w:val="en-US" w:eastAsia="zh-CN" w:bidi="ar"/>
              </w:rPr>
            </w:pPr>
          </w:p>
          <w:p w14:paraId="3CEF86CD">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i w:val="0"/>
                <w:iCs w:val="0"/>
                <w:color w:val="auto"/>
                <w:kern w:val="0"/>
                <w:sz w:val="21"/>
                <w:szCs w:val="21"/>
                <w:highlight w:val="none"/>
                <w:lang w:val="en-US" w:eastAsia="zh-CN" w:bidi="ar"/>
              </w:rPr>
            </w:pPr>
          </w:p>
          <w:p w14:paraId="21A78C35">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i w:val="0"/>
                <w:iCs w:val="0"/>
                <w:color w:val="auto"/>
                <w:kern w:val="0"/>
                <w:sz w:val="21"/>
                <w:szCs w:val="21"/>
                <w:highlight w:val="none"/>
                <w:lang w:val="en-US" w:eastAsia="zh-CN" w:bidi="ar"/>
              </w:rPr>
              <w:t>7</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0003E">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i w:val="0"/>
                <w:iCs w:val="0"/>
                <w:color w:val="auto"/>
                <w:kern w:val="0"/>
                <w:sz w:val="21"/>
                <w:szCs w:val="21"/>
                <w:highlight w:val="none"/>
                <w:lang w:val="en-US" w:eastAsia="zh-CN" w:bidi="ar"/>
              </w:rPr>
              <w:t>资产配置合规性</w:t>
            </w:r>
          </w:p>
        </w:tc>
        <w:tc>
          <w:tcPr>
            <w:tcW w:w="1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B4C3B0">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i w:val="0"/>
                <w:iCs w:val="0"/>
                <w:color w:val="auto"/>
                <w:kern w:val="0"/>
                <w:sz w:val="21"/>
                <w:szCs w:val="21"/>
                <w:highlight w:val="none"/>
                <w:lang w:val="en-US" w:eastAsia="zh-CN" w:bidi="ar"/>
              </w:rPr>
              <w:t>2</w:t>
            </w:r>
          </w:p>
        </w:tc>
        <w:tc>
          <w:tcPr>
            <w:tcW w:w="8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3B94E">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lang w:val="en-US" w:eastAsia="zh-CN" w:bidi="ar"/>
              </w:rPr>
              <w:t>反映单位办公室面积和办公设备配置是否超过规定标准。</w:t>
            </w:r>
          </w:p>
        </w:tc>
        <w:tc>
          <w:tcPr>
            <w:tcW w:w="16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21275C">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lang w:val="en-US" w:eastAsia="zh-CN" w:bidi="ar"/>
              </w:rPr>
              <w:t>符合标准的，得2分，发现一项（类）不符的，扣1分，扣完为止。</w:t>
            </w:r>
          </w:p>
        </w:tc>
        <w:tc>
          <w:tcPr>
            <w:tcW w:w="2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FB576">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lang w:eastAsia="zh-CN" w:bidi="ar"/>
              </w:rPr>
            </w:pPr>
            <w:r>
              <w:rPr>
                <w:rFonts w:hint="eastAsia" w:asciiTheme="minorEastAsia" w:hAnsiTheme="minorEastAsia" w:eastAsiaTheme="minorEastAsia" w:cstheme="minorEastAsia"/>
                <w:i w:val="0"/>
                <w:iCs w:val="0"/>
                <w:color w:val="auto"/>
                <w:kern w:val="0"/>
                <w:sz w:val="21"/>
                <w:szCs w:val="21"/>
                <w:highlight w:val="none"/>
                <w:lang w:eastAsia="zh-CN" w:bidi="ar"/>
              </w:rPr>
              <w:t>2</w:t>
            </w:r>
          </w:p>
        </w:tc>
        <w:tc>
          <w:tcPr>
            <w:tcW w:w="1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35A4E">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Theme="minorEastAsia" w:hAnsiTheme="minorEastAsia" w:eastAsiaTheme="minorEastAsia" w:cstheme="minorEastAsia"/>
                <w:i w:val="0"/>
                <w:iCs w:val="0"/>
                <w:color w:val="auto"/>
                <w:kern w:val="0"/>
                <w:sz w:val="21"/>
                <w:szCs w:val="21"/>
                <w:highlight w:val="none"/>
                <w:lang w:eastAsia="zh-CN" w:bidi="ar"/>
              </w:rPr>
            </w:pPr>
            <w:r>
              <w:rPr>
                <w:rFonts w:hint="eastAsia" w:asciiTheme="minorEastAsia" w:hAnsiTheme="minorEastAsia" w:eastAsiaTheme="minorEastAsia" w:cstheme="minorEastAsia"/>
                <w:i w:val="0"/>
                <w:iCs w:val="0"/>
                <w:color w:val="auto"/>
                <w:kern w:val="0"/>
                <w:sz w:val="21"/>
                <w:szCs w:val="21"/>
                <w:highlight w:val="none"/>
                <w:lang w:eastAsia="zh-CN" w:bidi="ar"/>
              </w:rPr>
              <w:t>通过现场确认，被评单位办公室面积和办公设备配置符合相关规定标准。</w:t>
            </w:r>
          </w:p>
        </w:tc>
      </w:tr>
      <w:tr w14:paraId="0EB37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51D83">
            <w:pPr>
              <w:spacing w:line="240" w:lineRule="auto"/>
              <w:jc w:val="center"/>
              <w:rPr>
                <w:rFonts w:hint="eastAsia" w:asciiTheme="minorEastAsia" w:hAnsiTheme="minorEastAsia" w:eastAsiaTheme="minorEastAsia" w:cstheme="minorEastAsia"/>
                <w:color w:val="auto"/>
                <w:sz w:val="21"/>
                <w:szCs w:val="21"/>
                <w:highlight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E8747">
            <w:pPr>
              <w:spacing w:line="240" w:lineRule="auto"/>
              <w:jc w:val="center"/>
              <w:rPr>
                <w:rFonts w:hint="eastAsia" w:asciiTheme="minorEastAsia" w:hAnsiTheme="minorEastAsia" w:eastAsiaTheme="minorEastAsia" w:cstheme="minorEastAsia"/>
                <w:color w:val="auto"/>
                <w:sz w:val="21"/>
                <w:szCs w:val="21"/>
                <w:highlight w:val="none"/>
              </w:rPr>
            </w:pPr>
          </w:p>
        </w:tc>
        <w:tc>
          <w:tcPr>
            <w:tcW w:w="1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01B412">
            <w:pPr>
              <w:spacing w:line="240" w:lineRule="auto"/>
              <w:jc w:val="center"/>
              <w:rPr>
                <w:rFonts w:hint="eastAsia" w:asciiTheme="minorEastAsia" w:hAnsiTheme="minorEastAsia" w:eastAsiaTheme="minorEastAsia" w:cstheme="minorEastAsia"/>
                <w:color w:val="auto"/>
                <w:sz w:val="21"/>
                <w:szCs w:val="21"/>
                <w:highlight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F973A">
            <w:pPr>
              <w:spacing w:line="240" w:lineRule="auto"/>
              <w:jc w:val="center"/>
              <w:rPr>
                <w:rFonts w:hint="eastAsia" w:asciiTheme="minorEastAsia" w:hAnsiTheme="minorEastAsia" w:eastAsiaTheme="minorEastAsia" w:cstheme="minorEastAsia"/>
                <w:color w:val="auto"/>
                <w:sz w:val="21"/>
                <w:szCs w:val="21"/>
                <w:highlight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02A3F">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i w:val="0"/>
                <w:iCs w:val="0"/>
                <w:color w:val="auto"/>
                <w:kern w:val="0"/>
                <w:sz w:val="21"/>
                <w:szCs w:val="21"/>
                <w:highlight w:val="none"/>
                <w:lang w:val="en-US" w:eastAsia="zh-CN" w:bidi="ar"/>
              </w:rPr>
              <w:t>资产收益上缴的及时性</w:t>
            </w:r>
          </w:p>
        </w:tc>
        <w:tc>
          <w:tcPr>
            <w:tcW w:w="1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4AF5D">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i w:val="0"/>
                <w:iCs w:val="0"/>
                <w:color w:val="auto"/>
                <w:kern w:val="0"/>
                <w:sz w:val="21"/>
                <w:szCs w:val="21"/>
                <w:highlight w:val="none"/>
                <w:lang w:val="en-US" w:eastAsia="zh-CN" w:bidi="ar"/>
              </w:rPr>
              <w:t>1</w:t>
            </w:r>
          </w:p>
        </w:tc>
        <w:tc>
          <w:tcPr>
            <w:tcW w:w="8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82F50D">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lang w:val="en-US" w:eastAsia="zh-CN" w:bidi="ar"/>
              </w:rPr>
              <w:t>反映单位资产处置和使用收益上缴的及时性。</w:t>
            </w:r>
          </w:p>
        </w:tc>
        <w:tc>
          <w:tcPr>
            <w:tcW w:w="16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212100">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lang w:val="en-US" w:eastAsia="zh-CN" w:bidi="ar"/>
              </w:rPr>
              <w:t>检查处置收益和租金上缴是否及时。存在长期（超过3个月）未上缴的，每1笔扣0.5分，扣完为止。</w:t>
            </w:r>
          </w:p>
        </w:tc>
        <w:tc>
          <w:tcPr>
            <w:tcW w:w="2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25CD8">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lang w:eastAsia="zh-CN" w:bidi="ar"/>
              </w:rPr>
            </w:pPr>
            <w:r>
              <w:rPr>
                <w:rFonts w:hint="eastAsia" w:asciiTheme="minorEastAsia" w:hAnsiTheme="minorEastAsia" w:eastAsiaTheme="minorEastAsia" w:cstheme="minorEastAsia"/>
                <w:i w:val="0"/>
                <w:iCs w:val="0"/>
                <w:color w:val="auto"/>
                <w:kern w:val="0"/>
                <w:sz w:val="21"/>
                <w:szCs w:val="21"/>
                <w:highlight w:val="none"/>
                <w:lang w:eastAsia="zh-CN" w:bidi="ar"/>
              </w:rPr>
              <w:t>1</w:t>
            </w:r>
          </w:p>
        </w:tc>
        <w:tc>
          <w:tcPr>
            <w:tcW w:w="1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3CC5E">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Theme="minorEastAsia" w:hAnsiTheme="minorEastAsia" w:eastAsiaTheme="minorEastAsia" w:cstheme="minorEastAsia"/>
                <w:i w:val="0"/>
                <w:iCs w:val="0"/>
                <w:color w:val="auto"/>
                <w:kern w:val="0"/>
                <w:sz w:val="21"/>
                <w:szCs w:val="21"/>
                <w:highlight w:val="none"/>
                <w:lang w:eastAsia="zh-CN" w:bidi="ar"/>
              </w:rPr>
            </w:pPr>
            <w:r>
              <w:rPr>
                <w:rFonts w:hint="eastAsia" w:asciiTheme="minorEastAsia" w:hAnsiTheme="minorEastAsia" w:eastAsiaTheme="minorEastAsia" w:cstheme="minorEastAsia"/>
                <w:i w:val="0"/>
                <w:iCs w:val="0"/>
                <w:color w:val="auto"/>
                <w:kern w:val="0"/>
                <w:sz w:val="21"/>
                <w:szCs w:val="21"/>
                <w:highlight w:val="none"/>
                <w:lang w:eastAsia="zh-CN" w:bidi="ar"/>
              </w:rPr>
              <w:t>未发现相关情况。</w:t>
            </w:r>
          </w:p>
        </w:tc>
      </w:tr>
      <w:tr w14:paraId="5AB3B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7" w:hRule="atLeast"/>
          <w:jc w:val="center"/>
        </w:trPr>
        <w:tc>
          <w:tcPr>
            <w:tcW w:w="1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66CBD">
            <w:pPr>
              <w:spacing w:line="240" w:lineRule="auto"/>
              <w:jc w:val="center"/>
              <w:rPr>
                <w:rFonts w:hint="eastAsia" w:asciiTheme="minorEastAsia" w:hAnsiTheme="minorEastAsia" w:eastAsiaTheme="minorEastAsia" w:cstheme="minorEastAsia"/>
                <w:color w:val="auto"/>
                <w:sz w:val="21"/>
                <w:szCs w:val="21"/>
                <w:highlight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F9E59">
            <w:pPr>
              <w:spacing w:line="240" w:lineRule="auto"/>
              <w:jc w:val="center"/>
              <w:rPr>
                <w:rFonts w:hint="eastAsia" w:asciiTheme="minorEastAsia" w:hAnsiTheme="minorEastAsia" w:eastAsiaTheme="minorEastAsia" w:cstheme="minorEastAsia"/>
                <w:color w:val="auto"/>
                <w:sz w:val="21"/>
                <w:szCs w:val="21"/>
                <w:highlight w:val="none"/>
              </w:rPr>
            </w:pPr>
          </w:p>
        </w:tc>
        <w:tc>
          <w:tcPr>
            <w:tcW w:w="1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F152C">
            <w:pPr>
              <w:spacing w:line="240" w:lineRule="auto"/>
              <w:jc w:val="center"/>
              <w:rPr>
                <w:rFonts w:hint="eastAsia" w:asciiTheme="minorEastAsia" w:hAnsiTheme="minorEastAsia" w:eastAsiaTheme="minorEastAsia" w:cstheme="minorEastAsia"/>
                <w:color w:val="auto"/>
                <w:sz w:val="21"/>
                <w:szCs w:val="21"/>
                <w:highlight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1443E">
            <w:pPr>
              <w:spacing w:line="240" w:lineRule="auto"/>
              <w:jc w:val="center"/>
              <w:rPr>
                <w:rFonts w:hint="eastAsia" w:asciiTheme="minorEastAsia" w:hAnsiTheme="minorEastAsia" w:eastAsiaTheme="minorEastAsia" w:cstheme="minorEastAsia"/>
                <w:color w:val="auto"/>
                <w:sz w:val="21"/>
                <w:szCs w:val="21"/>
                <w:highlight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A1D72">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i w:val="0"/>
                <w:iCs w:val="0"/>
                <w:color w:val="auto"/>
                <w:kern w:val="0"/>
                <w:sz w:val="21"/>
                <w:szCs w:val="21"/>
                <w:highlight w:val="none"/>
                <w:lang w:val="en-US" w:eastAsia="zh-CN" w:bidi="ar"/>
              </w:rPr>
              <w:t>资产盘点情况</w:t>
            </w:r>
          </w:p>
        </w:tc>
        <w:tc>
          <w:tcPr>
            <w:tcW w:w="1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82F65B">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i w:val="0"/>
                <w:iCs w:val="0"/>
                <w:color w:val="auto"/>
                <w:kern w:val="0"/>
                <w:sz w:val="21"/>
                <w:szCs w:val="21"/>
                <w:highlight w:val="none"/>
                <w:lang w:val="en-US" w:eastAsia="zh-CN" w:bidi="ar"/>
              </w:rPr>
              <w:t>1</w:t>
            </w:r>
          </w:p>
        </w:tc>
        <w:tc>
          <w:tcPr>
            <w:tcW w:w="8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CCD9B">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lang w:val="en-US" w:eastAsia="zh-CN" w:bidi="ar"/>
              </w:rPr>
              <w:t>反映单位是否每年按要求进行资产盘点。</w:t>
            </w:r>
          </w:p>
        </w:tc>
        <w:tc>
          <w:tcPr>
            <w:tcW w:w="16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B4525">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lang w:val="en-US" w:eastAsia="zh-CN" w:bidi="ar"/>
              </w:rPr>
              <w:t>每年进行一次资产盘点，并完成结果处理的，得1分。未进行盘点的，不得分。</w:t>
            </w:r>
          </w:p>
        </w:tc>
        <w:tc>
          <w:tcPr>
            <w:tcW w:w="2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DB475">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lang w:eastAsia="zh-CN" w:bidi="ar"/>
              </w:rPr>
            </w:pPr>
            <w:r>
              <w:rPr>
                <w:rFonts w:hint="eastAsia" w:asciiTheme="minorEastAsia" w:hAnsiTheme="minorEastAsia" w:eastAsiaTheme="minorEastAsia" w:cstheme="minorEastAsia"/>
                <w:i w:val="0"/>
                <w:iCs w:val="0"/>
                <w:color w:val="auto"/>
                <w:kern w:val="0"/>
                <w:sz w:val="21"/>
                <w:szCs w:val="21"/>
                <w:highlight w:val="none"/>
                <w:lang w:eastAsia="zh-CN" w:bidi="ar"/>
              </w:rPr>
              <w:t>0</w:t>
            </w:r>
          </w:p>
        </w:tc>
        <w:tc>
          <w:tcPr>
            <w:tcW w:w="1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27BDA">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Theme="minorEastAsia" w:hAnsiTheme="minorEastAsia" w:eastAsiaTheme="minorEastAsia" w:cstheme="minorEastAsia"/>
                <w:i w:val="0"/>
                <w:iCs w:val="0"/>
                <w:color w:val="auto"/>
                <w:kern w:val="0"/>
                <w:sz w:val="21"/>
                <w:szCs w:val="21"/>
                <w:highlight w:val="none"/>
                <w:lang w:eastAsia="zh-CN" w:bidi="ar"/>
              </w:rPr>
            </w:pPr>
            <w:r>
              <w:rPr>
                <w:rFonts w:hint="eastAsia" w:asciiTheme="minorEastAsia" w:hAnsiTheme="minorEastAsia" w:eastAsiaTheme="minorEastAsia" w:cstheme="minorEastAsia"/>
                <w:i w:val="0"/>
                <w:iCs w:val="0"/>
                <w:color w:val="auto"/>
                <w:kern w:val="0"/>
                <w:sz w:val="21"/>
                <w:szCs w:val="21"/>
                <w:highlight w:val="none"/>
                <w:lang w:eastAsia="zh-CN" w:bidi="ar"/>
              </w:rPr>
              <w:t>未能按要求在评价年度内能按每年一次开展资产盘点工作。</w:t>
            </w:r>
          </w:p>
        </w:tc>
      </w:tr>
      <w:tr w14:paraId="242E6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88EF2F">
            <w:pPr>
              <w:spacing w:line="240" w:lineRule="auto"/>
              <w:jc w:val="center"/>
              <w:rPr>
                <w:rFonts w:hint="eastAsia" w:asciiTheme="minorEastAsia" w:hAnsiTheme="minorEastAsia" w:eastAsiaTheme="minorEastAsia" w:cstheme="minorEastAsia"/>
                <w:color w:val="auto"/>
                <w:sz w:val="21"/>
                <w:szCs w:val="21"/>
                <w:highlight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EE50F7">
            <w:pPr>
              <w:spacing w:line="240" w:lineRule="auto"/>
              <w:jc w:val="center"/>
              <w:rPr>
                <w:rFonts w:hint="eastAsia" w:asciiTheme="minorEastAsia" w:hAnsiTheme="minorEastAsia" w:eastAsiaTheme="minorEastAsia" w:cstheme="minorEastAsia"/>
                <w:color w:val="auto"/>
                <w:sz w:val="21"/>
                <w:szCs w:val="21"/>
                <w:highlight w:val="none"/>
              </w:rPr>
            </w:pPr>
          </w:p>
        </w:tc>
        <w:tc>
          <w:tcPr>
            <w:tcW w:w="1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4A95D0">
            <w:pPr>
              <w:spacing w:line="240" w:lineRule="auto"/>
              <w:jc w:val="center"/>
              <w:rPr>
                <w:rFonts w:hint="eastAsia" w:asciiTheme="minorEastAsia" w:hAnsiTheme="minorEastAsia" w:eastAsiaTheme="minorEastAsia" w:cstheme="minorEastAsia"/>
                <w:color w:val="auto"/>
                <w:sz w:val="21"/>
                <w:szCs w:val="21"/>
                <w:highlight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78E98">
            <w:pPr>
              <w:spacing w:line="240" w:lineRule="auto"/>
              <w:jc w:val="center"/>
              <w:rPr>
                <w:rFonts w:hint="eastAsia" w:asciiTheme="minorEastAsia" w:hAnsiTheme="minorEastAsia" w:eastAsiaTheme="minorEastAsia" w:cstheme="minorEastAsia"/>
                <w:color w:val="auto"/>
                <w:sz w:val="21"/>
                <w:szCs w:val="21"/>
                <w:highlight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E785B5">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i w:val="0"/>
                <w:iCs w:val="0"/>
                <w:color w:val="auto"/>
                <w:kern w:val="0"/>
                <w:sz w:val="21"/>
                <w:szCs w:val="21"/>
                <w:highlight w:val="none"/>
                <w:lang w:val="en-US" w:eastAsia="zh-CN" w:bidi="ar"/>
              </w:rPr>
              <w:t>数据质量</w:t>
            </w:r>
          </w:p>
        </w:tc>
        <w:tc>
          <w:tcPr>
            <w:tcW w:w="1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A13F6">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i w:val="0"/>
                <w:iCs w:val="0"/>
                <w:color w:val="auto"/>
                <w:kern w:val="0"/>
                <w:sz w:val="21"/>
                <w:szCs w:val="21"/>
                <w:highlight w:val="none"/>
                <w:lang w:val="en-US" w:eastAsia="zh-CN" w:bidi="ar"/>
              </w:rPr>
              <w:t>1</w:t>
            </w:r>
          </w:p>
        </w:tc>
        <w:tc>
          <w:tcPr>
            <w:tcW w:w="8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2F333">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lang w:val="en-US" w:eastAsia="zh-CN" w:bidi="ar"/>
              </w:rPr>
              <w:t>反映部门（单位）行政事业性国有资产年报数据质量。</w:t>
            </w:r>
          </w:p>
        </w:tc>
        <w:tc>
          <w:tcPr>
            <w:tcW w:w="16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CAE84">
            <w:pPr>
              <w:keepNext w:val="0"/>
              <w:keepLines w:val="0"/>
              <w:widowControl/>
              <w:suppressLineNumbers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lang w:val="en-US" w:eastAsia="zh-CN" w:bidi="ar"/>
              </w:rPr>
              <w:t>部门（单位）行政事业性国有资产年报数据完整、准确，核实性问题均能提供有效、真实的说明，且资产账与财务账、资产实体相符的，得1分；否则酌情扣分。</w:t>
            </w:r>
          </w:p>
        </w:tc>
        <w:tc>
          <w:tcPr>
            <w:tcW w:w="2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C4055">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lang w:eastAsia="zh-CN" w:bidi="ar"/>
              </w:rPr>
            </w:pPr>
            <w:r>
              <w:rPr>
                <w:rFonts w:hint="eastAsia" w:asciiTheme="minorEastAsia" w:hAnsiTheme="minorEastAsia" w:eastAsiaTheme="minorEastAsia" w:cstheme="minorEastAsia"/>
                <w:i w:val="0"/>
                <w:iCs w:val="0"/>
                <w:color w:val="auto"/>
                <w:kern w:val="0"/>
                <w:sz w:val="21"/>
                <w:szCs w:val="21"/>
                <w:highlight w:val="none"/>
                <w:lang w:eastAsia="zh-CN" w:bidi="ar"/>
              </w:rPr>
              <w:t>1</w:t>
            </w:r>
          </w:p>
        </w:tc>
        <w:tc>
          <w:tcPr>
            <w:tcW w:w="1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A40EC">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lang w:eastAsia="zh-CN" w:bidi="ar"/>
              </w:rPr>
            </w:pPr>
            <w:r>
              <w:rPr>
                <w:rFonts w:hint="eastAsia" w:asciiTheme="minorEastAsia" w:hAnsiTheme="minorEastAsia" w:eastAsiaTheme="minorEastAsia" w:cstheme="minorEastAsia"/>
                <w:i w:val="0"/>
                <w:iCs w:val="0"/>
                <w:color w:val="auto"/>
                <w:kern w:val="0"/>
                <w:sz w:val="21"/>
                <w:szCs w:val="21"/>
                <w:highlight w:val="none"/>
                <w:lang w:eastAsia="zh-CN" w:bidi="ar"/>
              </w:rPr>
              <w:t>国有资产数据完整、准确，符合数据质量管理要求。</w:t>
            </w:r>
          </w:p>
        </w:tc>
      </w:tr>
      <w:tr w14:paraId="560DC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B2D6D2">
            <w:pPr>
              <w:spacing w:line="240" w:lineRule="auto"/>
              <w:jc w:val="center"/>
              <w:rPr>
                <w:rFonts w:hint="eastAsia" w:asciiTheme="minorEastAsia" w:hAnsiTheme="minorEastAsia" w:eastAsiaTheme="minorEastAsia" w:cstheme="minorEastAsia"/>
                <w:color w:val="auto"/>
                <w:sz w:val="21"/>
                <w:szCs w:val="21"/>
                <w:highlight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1A794B">
            <w:pPr>
              <w:spacing w:line="240" w:lineRule="auto"/>
              <w:jc w:val="center"/>
              <w:rPr>
                <w:rFonts w:hint="eastAsia" w:asciiTheme="minorEastAsia" w:hAnsiTheme="minorEastAsia" w:eastAsiaTheme="minorEastAsia" w:cstheme="minorEastAsia"/>
                <w:color w:val="auto"/>
                <w:sz w:val="21"/>
                <w:szCs w:val="21"/>
                <w:highlight w:val="none"/>
              </w:rPr>
            </w:pPr>
          </w:p>
        </w:tc>
        <w:tc>
          <w:tcPr>
            <w:tcW w:w="1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8D323E">
            <w:pPr>
              <w:spacing w:line="240" w:lineRule="auto"/>
              <w:jc w:val="center"/>
              <w:rPr>
                <w:rFonts w:hint="eastAsia" w:asciiTheme="minorEastAsia" w:hAnsiTheme="minorEastAsia" w:eastAsiaTheme="minorEastAsia" w:cstheme="minorEastAsia"/>
                <w:color w:val="auto"/>
                <w:sz w:val="21"/>
                <w:szCs w:val="21"/>
                <w:highlight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AD506">
            <w:pPr>
              <w:spacing w:line="240" w:lineRule="auto"/>
              <w:jc w:val="center"/>
              <w:rPr>
                <w:rFonts w:hint="eastAsia" w:asciiTheme="minorEastAsia" w:hAnsiTheme="minorEastAsia" w:eastAsiaTheme="minorEastAsia" w:cstheme="minorEastAsia"/>
                <w:color w:val="auto"/>
                <w:sz w:val="21"/>
                <w:szCs w:val="21"/>
                <w:highlight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8EDDD">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i w:val="0"/>
                <w:iCs w:val="0"/>
                <w:color w:val="auto"/>
                <w:kern w:val="0"/>
                <w:sz w:val="21"/>
                <w:szCs w:val="21"/>
                <w:highlight w:val="none"/>
                <w:lang w:val="en-US" w:eastAsia="zh-CN" w:bidi="ar"/>
              </w:rPr>
              <w:t>资产管理合规性</w:t>
            </w:r>
          </w:p>
        </w:tc>
        <w:tc>
          <w:tcPr>
            <w:tcW w:w="1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6F26D8">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i w:val="0"/>
                <w:iCs w:val="0"/>
                <w:color w:val="auto"/>
                <w:kern w:val="0"/>
                <w:sz w:val="21"/>
                <w:szCs w:val="21"/>
                <w:highlight w:val="none"/>
                <w:lang w:val="en-US" w:eastAsia="zh-CN" w:bidi="ar"/>
              </w:rPr>
              <w:t>2</w:t>
            </w:r>
          </w:p>
        </w:tc>
        <w:tc>
          <w:tcPr>
            <w:tcW w:w="8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4E9FF">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lang w:val="en-US" w:eastAsia="zh-CN" w:bidi="ar"/>
              </w:rPr>
              <w:t>反映部门（单位）资产管理是否合规。</w:t>
            </w:r>
          </w:p>
        </w:tc>
        <w:tc>
          <w:tcPr>
            <w:tcW w:w="16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B7403">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Theme="minorEastAsia" w:hAnsiTheme="minorEastAsia" w:eastAsiaTheme="minorEastAsia" w:cstheme="minorEastAsia"/>
                <w:i w:val="0"/>
                <w:iCs w:val="0"/>
                <w:color w:val="auto"/>
                <w:kern w:val="0"/>
                <w:sz w:val="21"/>
                <w:szCs w:val="21"/>
                <w:highlight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lang w:val="en-US" w:eastAsia="zh-CN" w:bidi="ar"/>
              </w:rPr>
              <w:t>1.有无行政事业性国有资产管理内部管理规程；如无，扣1分；</w:t>
            </w:r>
          </w:p>
          <w:p w14:paraId="2F37FB11">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Theme="minorEastAsia" w:hAnsiTheme="minorEastAsia" w:eastAsiaTheme="minorEastAsia" w:cstheme="minorEastAsia"/>
                <w:i w:val="0"/>
                <w:iCs w:val="0"/>
                <w:color w:val="auto"/>
                <w:kern w:val="0"/>
                <w:sz w:val="21"/>
                <w:szCs w:val="21"/>
                <w:highlight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lang w:val="en-US" w:eastAsia="zh-CN" w:bidi="ar"/>
              </w:rPr>
              <w:t>2.是否按《行政单位国有资产管理暂行办法》《事业单位国有资产管理暂行办法》等制度要求执行有关规定；如否，扣0.5分；</w:t>
            </w:r>
          </w:p>
          <w:p w14:paraId="43FBCEF3">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Theme="minorEastAsia" w:hAnsiTheme="minorEastAsia" w:eastAsiaTheme="minorEastAsia" w:cstheme="minorEastAsia"/>
                <w:i w:val="0"/>
                <w:iCs w:val="0"/>
                <w:color w:val="auto"/>
                <w:kern w:val="0"/>
                <w:sz w:val="21"/>
                <w:szCs w:val="21"/>
                <w:highlight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lang w:val="en-US" w:eastAsia="zh-CN" w:bidi="ar"/>
              </w:rPr>
              <w:t>3.出租、出借、处置国有资产是否规范；如否，扣0.5分；</w:t>
            </w:r>
          </w:p>
          <w:p w14:paraId="18DD62EE">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lang w:val="en-US" w:eastAsia="zh-CN" w:bidi="ar"/>
              </w:rPr>
              <w:t>4.在各类巡视、审计、监督检查工作中如发现资产管理存在问题的，每发现1次扣1分，扣完为止。</w:t>
            </w:r>
          </w:p>
        </w:tc>
        <w:tc>
          <w:tcPr>
            <w:tcW w:w="2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73E76">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lang w:eastAsia="zh-CN" w:bidi="ar"/>
              </w:rPr>
            </w:pPr>
            <w:r>
              <w:rPr>
                <w:rFonts w:hint="eastAsia" w:asciiTheme="minorEastAsia" w:hAnsiTheme="minorEastAsia" w:eastAsiaTheme="minorEastAsia" w:cstheme="minorEastAsia"/>
                <w:i w:val="0"/>
                <w:iCs w:val="0"/>
                <w:color w:val="auto"/>
                <w:kern w:val="0"/>
                <w:sz w:val="21"/>
                <w:szCs w:val="21"/>
                <w:highlight w:val="none"/>
                <w:lang w:eastAsia="zh-CN" w:bidi="ar"/>
              </w:rPr>
              <w:t>1</w:t>
            </w:r>
          </w:p>
        </w:tc>
        <w:tc>
          <w:tcPr>
            <w:tcW w:w="1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B4130">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Theme="minorEastAsia" w:hAnsiTheme="minorEastAsia" w:eastAsiaTheme="minorEastAsia" w:cstheme="minorEastAsia"/>
                <w:i w:val="0"/>
                <w:iCs w:val="0"/>
                <w:color w:val="auto"/>
                <w:kern w:val="0"/>
                <w:sz w:val="21"/>
                <w:szCs w:val="21"/>
                <w:highlight w:val="none"/>
                <w:lang w:eastAsia="zh-CN" w:bidi="ar"/>
              </w:rPr>
            </w:pPr>
            <w:r>
              <w:rPr>
                <w:rFonts w:hint="eastAsia" w:asciiTheme="minorEastAsia" w:hAnsiTheme="minorEastAsia" w:eastAsiaTheme="minorEastAsia" w:cstheme="minorEastAsia"/>
                <w:i w:val="0"/>
                <w:iCs w:val="0"/>
                <w:color w:val="auto"/>
                <w:kern w:val="0"/>
                <w:sz w:val="21"/>
                <w:szCs w:val="21"/>
                <w:highlight w:val="none"/>
                <w:lang w:eastAsia="zh-CN" w:bidi="ar"/>
              </w:rPr>
              <w:t>部分固定资产未按规范贴有固定资产标签。固定资产清单中有部分房屋建筑物标识由于历史遗留问题没有权属证明。</w:t>
            </w:r>
          </w:p>
        </w:tc>
      </w:tr>
      <w:tr w14:paraId="51C5E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B1073">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i w:val="0"/>
                <w:iCs w:val="0"/>
                <w:color w:val="auto"/>
                <w:kern w:val="0"/>
                <w:sz w:val="21"/>
                <w:szCs w:val="21"/>
                <w:highlight w:val="none"/>
                <w:lang w:val="en-US" w:eastAsia="zh-CN" w:bidi="ar"/>
              </w:rPr>
            </w:pPr>
          </w:p>
          <w:p w14:paraId="3BD36AEC">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i w:val="0"/>
                <w:iCs w:val="0"/>
                <w:color w:val="auto"/>
                <w:kern w:val="0"/>
                <w:sz w:val="21"/>
                <w:szCs w:val="21"/>
                <w:highlight w:val="none"/>
                <w:lang w:val="en-US" w:eastAsia="zh-CN" w:bidi="ar"/>
              </w:rPr>
            </w:pPr>
          </w:p>
          <w:p w14:paraId="5221DB6B">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i w:val="0"/>
                <w:iCs w:val="0"/>
                <w:color w:val="auto"/>
                <w:kern w:val="0"/>
                <w:sz w:val="21"/>
                <w:szCs w:val="21"/>
                <w:highlight w:val="none"/>
                <w:lang w:val="en-US" w:eastAsia="zh-CN" w:bidi="ar"/>
              </w:rPr>
            </w:pPr>
          </w:p>
          <w:p w14:paraId="318B0D6B">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i w:val="0"/>
                <w:iCs w:val="0"/>
                <w:color w:val="auto"/>
                <w:kern w:val="0"/>
                <w:sz w:val="21"/>
                <w:szCs w:val="21"/>
                <w:highlight w:val="none"/>
                <w:lang w:val="en-US" w:eastAsia="zh-CN" w:bidi="ar"/>
              </w:rPr>
            </w:pPr>
          </w:p>
          <w:p w14:paraId="708BF366">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i w:val="0"/>
                <w:iCs w:val="0"/>
                <w:color w:val="auto"/>
                <w:kern w:val="0"/>
                <w:sz w:val="21"/>
                <w:szCs w:val="21"/>
                <w:highlight w:val="none"/>
                <w:lang w:val="en-US" w:eastAsia="zh-CN" w:bidi="ar"/>
              </w:rPr>
            </w:pPr>
          </w:p>
          <w:p w14:paraId="67D9E054">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i w:val="0"/>
                <w:iCs w:val="0"/>
                <w:color w:val="auto"/>
                <w:kern w:val="0"/>
                <w:sz w:val="21"/>
                <w:szCs w:val="21"/>
                <w:highlight w:val="none"/>
                <w:lang w:val="en-US" w:eastAsia="zh-CN" w:bidi="ar"/>
              </w:rPr>
            </w:pPr>
          </w:p>
          <w:p w14:paraId="7B7C6F65">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i w:val="0"/>
                <w:iCs w:val="0"/>
                <w:color w:val="auto"/>
                <w:kern w:val="0"/>
                <w:sz w:val="21"/>
                <w:szCs w:val="21"/>
                <w:highlight w:val="none"/>
                <w:lang w:val="en-US" w:eastAsia="zh-CN" w:bidi="ar"/>
              </w:rPr>
            </w:pPr>
          </w:p>
          <w:p w14:paraId="148AE004">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i w:val="0"/>
                <w:iCs w:val="0"/>
                <w:color w:val="auto"/>
                <w:kern w:val="0"/>
                <w:sz w:val="21"/>
                <w:szCs w:val="21"/>
                <w:highlight w:val="none"/>
                <w:lang w:val="en-US" w:eastAsia="zh-CN" w:bidi="ar"/>
              </w:rPr>
            </w:pPr>
          </w:p>
          <w:p w14:paraId="4A3CB4F2">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i w:val="0"/>
                <w:iCs w:val="0"/>
                <w:color w:val="auto"/>
                <w:kern w:val="0"/>
                <w:sz w:val="21"/>
                <w:szCs w:val="21"/>
                <w:highlight w:val="none"/>
                <w:lang w:val="en-US" w:eastAsia="zh-CN" w:bidi="ar"/>
              </w:rPr>
            </w:pPr>
          </w:p>
          <w:p w14:paraId="0BC64E23">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i w:val="0"/>
                <w:iCs w:val="0"/>
                <w:color w:val="auto"/>
                <w:kern w:val="0"/>
                <w:sz w:val="21"/>
                <w:szCs w:val="21"/>
                <w:highlight w:val="none"/>
                <w:lang w:val="en-US" w:eastAsia="zh-CN" w:bidi="ar"/>
              </w:rPr>
            </w:pPr>
          </w:p>
          <w:p w14:paraId="7E00CEA1">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i w:val="0"/>
                <w:iCs w:val="0"/>
                <w:color w:val="auto"/>
                <w:kern w:val="0"/>
                <w:sz w:val="21"/>
                <w:szCs w:val="21"/>
                <w:highlight w:val="none"/>
                <w:lang w:val="en-US" w:eastAsia="zh-CN" w:bidi="ar"/>
              </w:rPr>
            </w:pPr>
          </w:p>
          <w:p w14:paraId="484D89C3">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i w:val="0"/>
                <w:iCs w:val="0"/>
                <w:color w:val="auto"/>
                <w:kern w:val="0"/>
                <w:sz w:val="21"/>
                <w:szCs w:val="21"/>
                <w:highlight w:val="none"/>
                <w:lang w:val="en-US" w:eastAsia="zh-CN" w:bidi="ar"/>
              </w:rPr>
            </w:pPr>
          </w:p>
          <w:p w14:paraId="6B0ABFD7">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i w:val="0"/>
                <w:iCs w:val="0"/>
                <w:color w:val="auto"/>
                <w:kern w:val="0"/>
                <w:sz w:val="21"/>
                <w:szCs w:val="21"/>
                <w:highlight w:val="none"/>
                <w:lang w:val="en-US" w:eastAsia="zh-CN" w:bidi="ar"/>
              </w:rPr>
            </w:pPr>
          </w:p>
          <w:p w14:paraId="0D1EF5AD">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i w:val="0"/>
                <w:iCs w:val="0"/>
                <w:color w:val="auto"/>
                <w:kern w:val="0"/>
                <w:sz w:val="21"/>
                <w:szCs w:val="21"/>
                <w:highlight w:val="none"/>
                <w:lang w:val="en-US" w:eastAsia="zh-CN" w:bidi="ar"/>
              </w:rPr>
              <w:t>预算使用效益</w:t>
            </w: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B7E0A">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i w:val="0"/>
                <w:iCs w:val="0"/>
                <w:color w:val="auto"/>
                <w:kern w:val="0"/>
                <w:sz w:val="21"/>
                <w:szCs w:val="21"/>
                <w:highlight w:val="none"/>
                <w:lang w:val="en-US" w:eastAsia="zh-CN" w:bidi="ar"/>
              </w:rPr>
            </w:pPr>
          </w:p>
          <w:p w14:paraId="27AC8F6A">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i w:val="0"/>
                <w:iCs w:val="0"/>
                <w:color w:val="auto"/>
                <w:kern w:val="0"/>
                <w:sz w:val="21"/>
                <w:szCs w:val="21"/>
                <w:highlight w:val="none"/>
                <w:lang w:val="en-US" w:eastAsia="zh-CN" w:bidi="ar"/>
              </w:rPr>
            </w:pPr>
          </w:p>
          <w:p w14:paraId="0023FCCE">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i w:val="0"/>
                <w:iCs w:val="0"/>
                <w:color w:val="auto"/>
                <w:kern w:val="0"/>
                <w:sz w:val="21"/>
                <w:szCs w:val="21"/>
                <w:highlight w:val="none"/>
                <w:lang w:val="en-US" w:eastAsia="zh-CN" w:bidi="ar"/>
              </w:rPr>
            </w:pPr>
          </w:p>
          <w:p w14:paraId="53ABB1BE">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i w:val="0"/>
                <w:iCs w:val="0"/>
                <w:color w:val="auto"/>
                <w:kern w:val="0"/>
                <w:sz w:val="21"/>
                <w:szCs w:val="21"/>
                <w:highlight w:val="none"/>
                <w:lang w:val="en-US" w:eastAsia="zh-CN" w:bidi="ar"/>
              </w:rPr>
            </w:pPr>
          </w:p>
          <w:p w14:paraId="78ECBF27">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i w:val="0"/>
                <w:iCs w:val="0"/>
                <w:color w:val="auto"/>
                <w:kern w:val="0"/>
                <w:sz w:val="21"/>
                <w:szCs w:val="21"/>
                <w:highlight w:val="none"/>
                <w:lang w:val="en-US" w:eastAsia="zh-CN" w:bidi="ar"/>
              </w:rPr>
            </w:pPr>
          </w:p>
          <w:p w14:paraId="01D6B3C1">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i w:val="0"/>
                <w:iCs w:val="0"/>
                <w:color w:val="auto"/>
                <w:kern w:val="0"/>
                <w:sz w:val="21"/>
                <w:szCs w:val="21"/>
                <w:highlight w:val="none"/>
                <w:lang w:val="en-US" w:eastAsia="zh-CN" w:bidi="ar"/>
              </w:rPr>
            </w:pPr>
          </w:p>
          <w:p w14:paraId="21BA0FD0">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i w:val="0"/>
                <w:iCs w:val="0"/>
                <w:color w:val="auto"/>
                <w:kern w:val="0"/>
                <w:sz w:val="21"/>
                <w:szCs w:val="21"/>
                <w:highlight w:val="none"/>
                <w:lang w:val="en-US" w:eastAsia="zh-CN" w:bidi="ar"/>
              </w:rPr>
            </w:pPr>
          </w:p>
          <w:p w14:paraId="70DA7614">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i w:val="0"/>
                <w:iCs w:val="0"/>
                <w:color w:val="auto"/>
                <w:kern w:val="0"/>
                <w:sz w:val="21"/>
                <w:szCs w:val="21"/>
                <w:highlight w:val="none"/>
                <w:lang w:val="en-US" w:eastAsia="zh-CN" w:bidi="ar"/>
              </w:rPr>
            </w:pPr>
          </w:p>
          <w:p w14:paraId="49B391C4">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i w:val="0"/>
                <w:iCs w:val="0"/>
                <w:color w:val="auto"/>
                <w:kern w:val="0"/>
                <w:sz w:val="21"/>
                <w:szCs w:val="21"/>
                <w:highlight w:val="none"/>
                <w:lang w:val="en-US" w:eastAsia="zh-CN" w:bidi="ar"/>
              </w:rPr>
            </w:pPr>
          </w:p>
          <w:p w14:paraId="0FE08170">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i w:val="0"/>
                <w:iCs w:val="0"/>
                <w:color w:val="auto"/>
                <w:kern w:val="0"/>
                <w:sz w:val="21"/>
                <w:szCs w:val="21"/>
                <w:highlight w:val="none"/>
                <w:lang w:val="en-US" w:eastAsia="zh-CN" w:bidi="ar"/>
              </w:rPr>
            </w:pPr>
          </w:p>
          <w:p w14:paraId="6AB6B962">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i w:val="0"/>
                <w:iCs w:val="0"/>
                <w:color w:val="auto"/>
                <w:kern w:val="0"/>
                <w:sz w:val="21"/>
                <w:szCs w:val="21"/>
                <w:highlight w:val="none"/>
                <w:lang w:val="en-US" w:eastAsia="zh-CN" w:bidi="ar"/>
              </w:rPr>
            </w:pPr>
          </w:p>
          <w:p w14:paraId="7214FA5D">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i w:val="0"/>
                <w:iCs w:val="0"/>
                <w:color w:val="auto"/>
                <w:kern w:val="0"/>
                <w:sz w:val="21"/>
                <w:szCs w:val="21"/>
                <w:highlight w:val="none"/>
                <w:lang w:val="en-US" w:eastAsia="zh-CN" w:bidi="ar"/>
              </w:rPr>
            </w:pPr>
          </w:p>
          <w:p w14:paraId="0B57B3AB">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i w:val="0"/>
                <w:iCs w:val="0"/>
                <w:color w:val="auto"/>
                <w:kern w:val="0"/>
                <w:sz w:val="21"/>
                <w:szCs w:val="21"/>
                <w:highlight w:val="none"/>
                <w:lang w:val="en-US" w:eastAsia="zh-CN" w:bidi="ar"/>
              </w:rPr>
            </w:pPr>
          </w:p>
          <w:p w14:paraId="7884B2DD">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i w:val="0"/>
                <w:iCs w:val="0"/>
                <w:color w:val="auto"/>
                <w:kern w:val="0"/>
                <w:sz w:val="21"/>
                <w:szCs w:val="21"/>
                <w:highlight w:val="none"/>
                <w:lang w:val="en-US" w:eastAsia="zh-CN" w:bidi="ar"/>
              </w:rPr>
            </w:pPr>
          </w:p>
          <w:p w14:paraId="4D67B75F">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i w:val="0"/>
                <w:iCs w:val="0"/>
                <w:color w:val="auto"/>
                <w:kern w:val="0"/>
                <w:sz w:val="21"/>
                <w:szCs w:val="21"/>
                <w:highlight w:val="none"/>
                <w:lang w:val="en-US" w:eastAsia="zh-CN" w:bidi="ar"/>
              </w:rPr>
              <w:t>26</w:t>
            </w:r>
          </w:p>
        </w:tc>
        <w:tc>
          <w:tcPr>
            <w:tcW w:w="1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D08AC">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i w:val="0"/>
                <w:iCs w:val="0"/>
                <w:color w:val="auto"/>
                <w:kern w:val="0"/>
                <w:sz w:val="21"/>
                <w:szCs w:val="21"/>
                <w:highlight w:val="none"/>
                <w:lang w:val="en-US" w:eastAsia="zh-CN" w:bidi="ar"/>
              </w:rPr>
              <w:t>经济性</w:t>
            </w:r>
          </w:p>
        </w:tc>
        <w:tc>
          <w:tcPr>
            <w:tcW w:w="16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DCA54D">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i w:val="0"/>
                <w:iCs w:val="0"/>
                <w:color w:val="auto"/>
                <w:kern w:val="0"/>
                <w:sz w:val="21"/>
                <w:szCs w:val="21"/>
                <w:highlight w:val="none"/>
                <w:lang w:val="en-US" w:eastAsia="zh-CN" w:bidi="ar"/>
              </w:rPr>
              <w:t>7</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4BDDD">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i w:val="0"/>
                <w:iCs w:val="0"/>
                <w:color w:val="auto"/>
                <w:kern w:val="0"/>
                <w:sz w:val="21"/>
                <w:szCs w:val="21"/>
                <w:highlight w:val="none"/>
                <w:lang w:val="en-US" w:eastAsia="zh-CN" w:bidi="ar"/>
              </w:rPr>
              <w:t>经济成本控制情况</w:t>
            </w:r>
          </w:p>
        </w:tc>
        <w:tc>
          <w:tcPr>
            <w:tcW w:w="1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2584D">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i w:val="0"/>
                <w:iCs w:val="0"/>
                <w:color w:val="auto"/>
                <w:kern w:val="0"/>
                <w:sz w:val="21"/>
                <w:szCs w:val="21"/>
                <w:highlight w:val="none"/>
                <w:lang w:val="en-US" w:eastAsia="zh-CN" w:bidi="ar"/>
              </w:rPr>
              <w:t>3</w:t>
            </w:r>
          </w:p>
        </w:tc>
        <w:tc>
          <w:tcPr>
            <w:tcW w:w="8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4AFB9">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lang w:val="en-US" w:eastAsia="zh-CN" w:bidi="ar"/>
              </w:rPr>
              <w:t>反映部门经济支出分类核算情况，包括对运转成本的控制程度和效果、核算精准度和合理性等。</w:t>
            </w:r>
          </w:p>
        </w:tc>
        <w:tc>
          <w:tcPr>
            <w:tcW w:w="16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4705C">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Theme="minorEastAsia" w:hAnsiTheme="minorEastAsia" w:eastAsiaTheme="minorEastAsia" w:cstheme="minorEastAsia"/>
                <w:i w:val="0"/>
                <w:iCs w:val="0"/>
                <w:color w:val="auto"/>
                <w:kern w:val="0"/>
                <w:sz w:val="21"/>
                <w:szCs w:val="21"/>
                <w:highlight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lang w:val="en-US" w:eastAsia="zh-CN" w:bidi="ar"/>
              </w:rPr>
              <w:t>1.得分=项目自评复核得分率×本指标分值；</w:t>
            </w:r>
          </w:p>
          <w:p w14:paraId="553B6648">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Theme="minorEastAsia" w:hAnsiTheme="minorEastAsia" w:eastAsiaTheme="minorEastAsia" w:cstheme="minorEastAsia"/>
                <w:i w:val="0"/>
                <w:iCs w:val="0"/>
                <w:color w:val="auto"/>
                <w:kern w:val="0"/>
                <w:sz w:val="21"/>
                <w:szCs w:val="21"/>
                <w:highlight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lang w:val="en-US" w:eastAsia="zh-CN" w:bidi="ar"/>
              </w:rPr>
              <w:t>2.项目自评复核得分率=项目自评复核得分÷项目自评复核满分分数；</w:t>
            </w:r>
          </w:p>
          <w:p w14:paraId="77104AB0">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lang w:val="en-US" w:eastAsia="zh-CN" w:bidi="ar"/>
              </w:rPr>
              <w:t>3.项目自评复核指对经济成本分析进行复核，内容主要包括经济成本控制情况、经济成本水平、其他支出合理性等。</w:t>
            </w:r>
          </w:p>
        </w:tc>
        <w:tc>
          <w:tcPr>
            <w:tcW w:w="2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74789">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lang w:eastAsia="zh-CN" w:bidi="ar"/>
              </w:rPr>
            </w:pPr>
            <w:r>
              <w:rPr>
                <w:rFonts w:hint="eastAsia" w:asciiTheme="minorEastAsia" w:hAnsiTheme="minorEastAsia" w:eastAsiaTheme="minorEastAsia" w:cstheme="minorEastAsia"/>
                <w:i w:val="0"/>
                <w:iCs w:val="0"/>
                <w:color w:val="auto"/>
                <w:kern w:val="0"/>
                <w:sz w:val="21"/>
                <w:szCs w:val="21"/>
                <w:highlight w:val="none"/>
                <w:lang w:eastAsia="zh-CN" w:bidi="ar"/>
              </w:rPr>
              <w:t>2.4</w:t>
            </w:r>
          </w:p>
        </w:tc>
        <w:tc>
          <w:tcPr>
            <w:tcW w:w="1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4CB3A">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Theme="minorEastAsia" w:hAnsiTheme="minorEastAsia" w:eastAsiaTheme="minorEastAsia" w:cstheme="minorEastAsia"/>
                <w:i w:val="0"/>
                <w:iCs w:val="0"/>
                <w:color w:val="auto"/>
                <w:kern w:val="0"/>
                <w:sz w:val="21"/>
                <w:szCs w:val="21"/>
                <w:highlight w:val="none"/>
                <w:lang w:eastAsia="zh-CN" w:bidi="ar"/>
              </w:rPr>
            </w:pPr>
            <w:r>
              <w:rPr>
                <w:rFonts w:hint="eastAsia" w:asciiTheme="minorEastAsia" w:hAnsiTheme="minorEastAsia" w:eastAsiaTheme="minorEastAsia" w:cstheme="minorEastAsia"/>
                <w:i w:val="0"/>
                <w:iCs w:val="0"/>
                <w:color w:val="auto"/>
                <w:kern w:val="0"/>
                <w:sz w:val="21"/>
                <w:szCs w:val="21"/>
                <w:highlight w:val="none"/>
                <w:lang w:eastAsia="zh-CN" w:bidi="ar"/>
              </w:rPr>
              <w:t>另外2个项目未提供《项目绩效自评指标评分表》资料，无法核实。</w:t>
            </w:r>
          </w:p>
        </w:tc>
      </w:tr>
      <w:tr w14:paraId="2FE72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8" w:hRule="atLeast"/>
          <w:jc w:val="center"/>
        </w:trPr>
        <w:tc>
          <w:tcPr>
            <w:tcW w:w="1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01A5E">
            <w:pPr>
              <w:spacing w:line="240" w:lineRule="auto"/>
              <w:jc w:val="center"/>
              <w:rPr>
                <w:rFonts w:hint="eastAsia" w:asciiTheme="minorEastAsia" w:hAnsiTheme="minorEastAsia" w:eastAsiaTheme="minorEastAsia" w:cstheme="minorEastAsia"/>
                <w:color w:val="auto"/>
                <w:sz w:val="21"/>
                <w:szCs w:val="21"/>
                <w:highlight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5BDB5">
            <w:pPr>
              <w:spacing w:line="240" w:lineRule="auto"/>
              <w:jc w:val="center"/>
              <w:rPr>
                <w:rFonts w:hint="eastAsia" w:asciiTheme="minorEastAsia" w:hAnsiTheme="minorEastAsia" w:eastAsiaTheme="minorEastAsia" w:cstheme="minorEastAsia"/>
                <w:color w:val="auto"/>
                <w:sz w:val="21"/>
                <w:szCs w:val="21"/>
                <w:highlight w:val="none"/>
              </w:rPr>
            </w:pPr>
          </w:p>
        </w:tc>
        <w:tc>
          <w:tcPr>
            <w:tcW w:w="1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715136">
            <w:pPr>
              <w:spacing w:line="240" w:lineRule="auto"/>
              <w:jc w:val="center"/>
              <w:rPr>
                <w:rFonts w:hint="eastAsia" w:asciiTheme="minorEastAsia" w:hAnsiTheme="minorEastAsia" w:eastAsiaTheme="minorEastAsia" w:cstheme="minorEastAsia"/>
                <w:color w:val="auto"/>
                <w:sz w:val="21"/>
                <w:szCs w:val="21"/>
                <w:highlight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E4451">
            <w:pPr>
              <w:spacing w:line="240" w:lineRule="auto"/>
              <w:jc w:val="center"/>
              <w:rPr>
                <w:rFonts w:hint="eastAsia" w:asciiTheme="minorEastAsia" w:hAnsiTheme="minorEastAsia" w:eastAsiaTheme="minorEastAsia" w:cstheme="minorEastAsia"/>
                <w:color w:val="auto"/>
                <w:sz w:val="21"/>
                <w:szCs w:val="21"/>
                <w:highlight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D2B0F1">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i w:val="0"/>
                <w:iCs w:val="0"/>
                <w:color w:val="auto"/>
                <w:kern w:val="0"/>
                <w:sz w:val="21"/>
                <w:szCs w:val="21"/>
                <w:highlight w:val="none"/>
                <w:lang w:val="en-US" w:eastAsia="zh-CN" w:bidi="ar"/>
              </w:rPr>
              <w:t>公用经费控制率</w:t>
            </w:r>
          </w:p>
        </w:tc>
        <w:tc>
          <w:tcPr>
            <w:tcW w:w="1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90341">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i w:val="0"/>
                <w:iCs w:val="0"/>
                <w:color w:val="auto"/>
                <w:kern w:val="0"/>
                <w:sz w:val="21"/>
                <w:szCs w:val="21"/>
                <w:highlight w:val="none"/>
                <w:lang w:val="en-US" w:eastAsia="zh-CN" w:bidi="ar"/>
              </w:rPr>
              <w:t>4</w:t>
            </w:r>
          </w:p>
        </w:tc>
        <w:tc>
          <w:tcPr>
            <w:tcW w:w="8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CBCD1">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lang w:val="en-US" w:eastAsia="zh-CN" w:bidi="ar"/>
              </w:rPr>
              <w:t>部门（单位）本年度实际支出的公用经费总额与预算安排的公用经费总额的比率，用以反映和考核部门（单位）对机构运转成本的实际控制程度</w:t>
            </w:r>
          </w:p>
        </w:tc>
        <w:tc>
          <w:tcPr>
            <w:tcW w:w="16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19D78">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Theme="minorEastAsia" w:hAnsiTheme="minorEastAsia" w:eastAsiaTheme="minorEastAsia" w:cstheme="minorEastAsia"/>
                <w:i w:val="0"/>
                <w:iCs w:val="0"/>
                <w:color w:val="auto"/>
                <w:kern w:val="0"/>
                <w:sz w:val="21"/>
                <w:szCs w:val="21"/>
                <w:highlight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lang w:val="en-US" w:eastAsia="zh-CN" w:bidi="ar"/>
              </w:rPr>
              <w:t xml:space="preserve">1.“三公”经费实际支出数≤预算安排的三公经费数,得2分，否则不得分；                     </w:t>
            </w:r>
          </w:p>
          <w:p w14:paraId="3F9EF4C3">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lang w:val="en-US" w:eastAsia="zh-CN" w:bidi="ar"/>
              </w:rPr>
              <w:t>2.日常公用经费决算数≤日常公用经费调整预算数，得2分，否则不得分；</w:t>
            </w:r>
          </w:p>
        </w:tc>
        <w:tc>
          <w:tcPr>
            <w:tcW w:w="2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AD4FCE">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lang w:eastAsia="zh-CN" w:bidi="ar"/>
              </w:rPr>
            </w:pPr>
            <w:r>
              <w:rPr>
                <w:rFonts w:hint="eastAsia" w:asciiTheme="minorEastAsia" w:hAnsiTheme="minorEastAsia" w:eastAsiaTheme="minorEastAsia" w:cstheme="minorEastAsia"/>
                <w:i w:val="0"/>
                <w:iCs w:val="0"/>
                <w:color w:val="auto"/>
                <w:kern w:val="0"/>
                <w:sz w:val="21"/>
                <w:szCs w:val="21"/>
                <w:highlight w:val="none"/>
                <w:lang w:eastAsia="zh-CN" w:bidi="ar"/>
              </w:rPr>
              <w:t>4</w:t>
            </w:r>
          </w:p>
        </w:tc>
        <w:tc>
          <w:tcPr>
            <w:tcW w:w="1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69E38">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Theme="minorEastAsia" w:hAnsiTheme="minorEastAsia" w:eastAsiaTheme="minorEastAsia" w:cstheme="minorEastAsia"/>
                <w:i w:val="0"/>
                <w:iCs w:val="0"/>
                <w:color w:val="auto"/>
                <w:kern w:val="0"/>
                <w:sz w:val="21"/>
                <w:szCs w:val="21"/>
                <w:highlight w:val="none"/>
                <w:lang w:eastAsia="zh-CN" w:bidi="ar"/>
              </w:rPr>
            </w:pPr>
            <w:r>
              <w:rPr>
                <w:rFonts w:hint="eastAsia" w:asciiTheme="minorEastAsia" w:hAnsiTheme="minorEastAsia" w:eastAsiaTheme="minorEastAsia" w:cstheme="minorEastAsia"/>
                <w:i w:val="0"/>
                <w:iCs w:val="0"/>
                <w:color w:val="auto"/>
                <w:kern w:val="0"/>
                <w:sz w:val="21"/>
                <w:szCs w:val="21"/>
                <w:highlight w:val="none"/>
                <w:lang w:eastAsia="zh-CN" w:bidi="ar"/>
              </w:rPr>
              <w:t>“三公”经费实际支出5.00万元＜预算安排数5.20万元；日常公用经费实际支出94.91万元＝预算安排数94.91万元。</w:t>
            </w:r>
          </w:p>
        </w:tc>
      </w:tr>
      <w:tr w14:paraId="36275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22" w:hRule="atLeast"/>
          <w:jc w:val="center"/>
        </w:trPr>
        <w:tc>
          <w:tcPr>
            <w:tcW w:w="1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4C010">
            <w:pPr>
              <w:spacing w:line="240" w:lineRule="auto"/>
              <w:jc w:val="center"/>
              <w:rPr>
                <w:rFonts w:hint="eastAsia" w:asciiTheme="minorEastAsia" w:hAnsiTheme="minorEastAsia" w:eastAsiaTheme="minorEastAsia" w:cstheme="minorEastAsia"/>
                <w:color w:val="auto"/>
                <w:sz w:val="21"/>
                <w:szCs w:val="21"/>
                <w:highlight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535BF">
            <w:pPr>
              <w:spacing w:line="240" w:lineRule="auto"/>
              <w:jc w:val="center"/>
              <w:rPr>
                <w:rFonts w:hint="eastAsia" w:asciiTheme="minorEastAsia" w:hAnsiTheme="minorEastAsia" w:eastAsiaTheme="minorEastAsia" w:cstheme="minorEastAsia"/>
                <w:color w:val="auto"/>
                <w:sz w:val="21"/>
                <w:szCs w:val="21"/>
                <w:highlight w:val="none"/>
              </w:rPr>
            </w:pPr>
          </w:p>
        </w:tc>
        <w:tc>
          <w:tcPr>
            <w:tcW w:w="1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E7DE5">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i w:val="0"/>
                <w:iCs w:val="0"/>
                <w:color w:val="auto"/>
                <w:kern w:val="0"/>
                <w:sz w:val="21"/>
                <w:szCs w:val="21"/>
                <w:highlight w:val="none"/>
                <w:lang w:val="en-US" w:eastAsia="zh-CN" w:bidi="ar"/>
              </w:rPr>
              <w:t>效率性</w:t>
            </w:r>
          </w:p>
        </w:tc>
        <w:tc>
          <w:tcPr>
            <w:tcW w:w="16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FE383">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i w:val="0"/>
                <w:iCs w:val="0"/>
                <w:color w:val="auto"/>
                <w:kern w:val="0"/>
                <w:sz w:val="21"/>
                <w:szCs w:val="21"/>
                <w:highlight w:val="none"/>
                <w:lang w:val="en-US" w:eastAsia="zh-CN" w:bidi="ar"/>
              </w:rPr>
              <w:t>8</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F3008">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i w:val="0"/>
                <w:iCs w:val="0"/>
                <w:color w:val="auto"/>
                <w:kern w:val="0"/>
                <w:sz w:val="21"/>
                <w:szCs w:val="21"/>
                <w:highlight w:val="none"/>
                <w:lang w:val="en-US" w:eastAsia="zh-CN" w:bidi="ar"/>
              </w:rPr>
              <w:t>重点工作完成率</w:t>
            </w:r>
          </w:p>
        </w:tc>
        <w:tc>
          <w:tcPr>
            <w:tcW w:w="1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86E6E">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i w:val="0"/>
                <w:iCs w:val="0"/>
                <w:color w:val="auto"/>
                <w:kern w:val="0"/>
                <w:sz w:val="21"/>
                <w:szCs w:val="21"/>
                <w:highlight w:val="none"/>
                <w:lang w:val="en-US" w:eastAsia="zh-CN" w:bidi="ar"/>
              </w:rPr>
              <w:t>2</w:t>
            </w:r>
          </w:p>
        </w:tc>
        <w:tc>
          <w:tcPr>
            <w:tcW w:w="8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46302">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lang w:val="en-US" w:eastAsia="zh-CN" w:bidi="ar"/>
              </w:rPr>
              <w:t>部门（单位）完成党委、政府、人大和上级部门下达或交办的重要事项或工作的完成情况，反映部门对重点工作的办理落实程度。</w:t>
            </w:r>
          </w:p>
        </w:tc>
        <w:tc>
          <w:tcPr>
            <w:tcW w:w="16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3406B">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Theme="minorEastAsia" w:hAnsiTheme="minorEastAsia" w:eastAsiaTheme="minorEastAsia" w:cstheme="minorEastAsia"/>
                <w:i w:val="0"/>
                <w:iCs w:val="0"/>
                <w:color w:val="auto"/>
                <w:kern w:val="2"/>
                <w:sz w:val="21"/>
                <w:szCs w:val="21"/>
                <w:highlight w:val="none"/>
                <w:lang w:val="en-US" w:eastAsia="zh-CN" w:bidi="ar"/>
              </w:rPr>
            </w:pPr>
            <w:r>
              <w:rPr>
                <w:rFonts w:hint="eastAsia" w:asciiTheme="minorEastAsia" w:hAnsiTheme="minorEastAsia" w:eastAsiaTheme="minorEastAsia" w:cstheme="minorEastAsia"/>
                <w:i w:val="0"/>
                <w:iCs w:val="0"/>
                <w:color w:val="auto"/>
                <w:kern w:val="2"/>
                <w:sz w:val="21"/>
                <w:szCs w:val="21"/>
                <w:highlight w:val="none"/>
                <w:lang w:val="en-US" w:eastAsia="zh-CN" w:bidi="ar"/>
              </w:rPr>
              <w:t>重点工作是指 区委、区政府、区人大、上级相关部门交办或下达的工作任务。重点工作完成率=重点工作实际完成数/重点工作总数×100%</w:t>
            </w:r>
          </w:p>
          <w:p w14:paraId="58CA25BF">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Theme="minorEastAsia" w:hAnsiTheme="minorEastAsia" w:eastAsiaTheme="minorEastAsia" w:cstheme="minorEastAsia"/>
                <w:i w:val="0"/>
                <w:iCs w:val="0"/>
                <w:color w:val="auto"/>
                <w:kern w:val="2"/>
                <w:sz w:val="21"/>
                <w:szCs w:val="21"/>
                <w:highlight w:val="none"/>
                <w:lang w:val="en-US" w:eastAsia="zh-CN" w:bidi="ar"/>
              </w:rPr>
            </w:pPr>
            <w:r>
              <w:rPr>
                <w:rFonts w:hint="eastAsia" w:asciiTheme="minorEastAsia" w:hAnsiTheme="minorEastAsia" w:eastAsiaTheme="minorEastAsia" w:cstheme="minorEastAsia"/>
                <w:i w:val="0"/>
                <w:iCs w:val="0"/>
                <w:color w:val="auto"/>
                <w:kern w:val="2"/>
                <w:sz w:val="21"/>
                <w:szCs w:val="21"/>
                <w:highlight w:val="none"/>
                <w:lang w:val="en-US" w:eastAsia="zh-CN" w:bidi="ar"/>
              </w:rPr>
              <w:t>本指标得分=重点工作完成率×2</w:t>
            </w:r>
          </w:p>
          <w:p w14:paraId="338E4975">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2"/>
                <w:sz w:val="21"/>
                <w:szCs w:val="21"/>
                <w:highlight w:val="none"/>
                <w:lang w:val="en-US" w:eastAsia="zh-CN" w:bidi="ar"/>
              </w:rPr>
              <w:t>注：重点工作完成率可以参考市府督查室或其他权威部门的统计数据（如有）</w:t>
            </w:r>
          </w:p>
        </w:tc>
        <w:tc>
          <w:tcPr>
            <w:tcW w:w="2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30C7D">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lang w:eastAsia="zh-CN" w:bidi="ar"/>
              </w:rPr>
            </w:pPr>
            <w:r>
              <w:rPr>
                <w:rFonts w:hint="eastAsia" w:asciiTheme="minorEastAsia" w:hAnsiTheme="minorEastAsia" w:eastAsiaTheme="minorEastAsia" w:cstheme="minorEastAsia"/>
                <w:i w:val="0"/>
                <w:iCs w:val="0"/>
                <w:color w:val="auto"/>
                <w:kern w:val="0"/>
                <w:sz w:val="21"/>
                <w:szCs w:val="21"/>
                <w:highlight w:val="none"/>
                <w:lang w:eastAsia="zh-CN" w:bidi="ar"/>
              </w:rPr>
              <w:t>1</w:t>
            </w:r>
          </w:p>
        </w:tc>
        <w:tc>
          <w:tcPr>
            <w:tcW w:w="1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DE694">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Theme="minorEastAsia" w:hAnsiTheme="minorEastAsia" w:eastAsiaTheme="minorEastAsia" w:cstheme="minorEastAsia"/>
                <w:i w:val="0"/>
                <w:iCs w:val="0"/>
                <w:color w:val="auto"/>
                <w:kern w:val="0"/>
                <w:sz w:val="21"/>
                <w:szCs w:val="21"/>
                <w:highlight w:val="none"/>
                <w:lang w:eastAsia="zh-CN" w:bidi="ar"/>
              </w:rPr>
            </w:pPr>
            <w:r>
              <w:rPr>
                <w:rFonts w:hint="eastAsia" w:asciiTheme="minorEastAsia" w:hAnsiTheme="minorEastAsia" w:eastAsiaTheme="minorEastAsia" w:cstheme="minorEastAsia"/>
                <w:i w:val="0"/>
                <w:iCs w:val="0"/>
                <w:color w:val="auto"/>
                <w:kern w:val="0"/>
                <w:sz w:val="21"/>
                <w:szCs w:val="21"/>
                <w:highlight w:val="none"/>
                <w:lang w:eastAsia="zh-CN" w:bidi="ar"/>
              </w:rPr>
              <w:t>较好完成年度工作。</w:t>
            </w:r>
          </w:p>
        </w:tc>
      </w:tr>
      <w:tr w14:paraId="2370F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26" w:hRule="atLeast"/>
          <w:jc w:val="center"/>
        </w:trPr>
        <w:tc>
          <w:tcPr>
            <w:tcW w:w="1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BF291">
            <w:pPr>
              <w:spacing w:line="240" w:lineRule="auto"/>
              <w:jc w:val="center"/>
              <w:rPr>
                <w:rFonts w:hint="eastAsia" w:asciiTheme="minorEastAsia" w:hAnsiTheme="minorEastAsia" w:eastAsiaTheme="minorEastAsia" w:cstheme="minorEastAsia"/>
                <w:color w:val="auto"/>
                <w:sz w:val="21"/>
                <w:szCs w:val="21"/>
                <w:highlight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1FD8F">
            <w:pPr>
              <w:spacing w:line="240" w:lineRule="auto"/>
              <w:jc w:val="center"/>
              <w:rPr>
                <w:rFonts w:hint="eastAsia" w:asciiTheme="minorEastAsia" w:hAnsiTheme="minorEastAsia" w:eastAsiaTheme="minorEastAsia" w:cstheme="minorEastAsia"/>
                <w:color w:val="auto"/>
                <w:sz w:val="21"/>
                <w:szCs w:val="21"/>
                <w:highlight w:val="none"/>
              </w:rPr>
            </w:pPr>
          </w:p>
        </w:tc>
        <w:tc>
          <w:tcPr>
            <w:tcW w:w="1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1343B8">
            <w:pPr>
              <w:spacing w:line="240" w:lineRule="auto"/>
              <w:jc w:val="center"/>
              <w:rPr>
                <w:rFonts w:hint="eastAsia" w:asciiTheme="minorEastAsia" w:hAnsiTheme="minorEastAsia" w:eastAsiaTheme="minorEastAsia" w:cstheme="minorEastAsia"/>
                <w:color w:val="auto"/>
                <w:sz w:val="21"/>
                <w:szCs w:val="21"/>
                <w:highlight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1E075">
            <w:pPr>
              <w:spacing w:line="240" w:lineRule="auto"/>
              <w:jc w:val="center"/>
              <w:rPr>
                <w:rFonts w:hint="eastAsia" w:asciiTheme="minorEastAsia" w:hAnsiTheme="minorEastAsia" w:eastAsiaTheme="minorEastAsia" w:cstheme="minorEastAsia"/>
                <w:color w:val="auto"/>
                <w:sz w:val="21"/>
                <w:szCs w:val="21"/>
                <w:highlight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495CA">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i w:val="0"/>
                <w:iCs w:val="0"/>
                <w:color w:val="auto"/>
                <w:kern w:val="0"/>
                <w:sz w:val="21"/>
                <w:szCs w:val="21"/>
                <w:highlight w:val="none"/>
                <w:lang w:val="en-US" w:eastAsia="zh-CN" w:bidi="ar"/>
              </w:rPr>
              <w:t>绩效目标完成率</w:t>
            </w:r>
          </w:p>
        </w:tc>
        <w:tc>
          <w:tcPr>
            <w:tcW w:w="1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15795">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i w:val="0"/>
                <w:iCs w:val="0"/>
                <w:color w:val="auto"/>
                <w:kern w:val="0"/>
                <w:sz w:val="21"/>
                <w:szCs w:val="21"/>
                <w:highlight w:val="none"/>
                <w:lang w:val="en-US" w:eastAsia="zh-CN" w:bidi="ar"/>
              </w:rPr>
              <w:t>3</w:t>
            </w:r>
          </w:p>
        </w:tc>
        <w:tc>
          <w:tcPr>
            <w:tcW w:w="8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2A70F1">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lang w:val="en-US" w:eastAsia="zh-CN" w:bidi="ar"/>
              </w:rPr>
              <w:t>部门（单位）整体绩效目标中各项目标的完成情况，反映部门整体支出绩效目标的实现程度。</w:t>
            </w:r>
          </w:p>
        </w:tc>
        <w:tc>
          <w:tcPr>
            <w:tcW w:w="16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60C552">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Theme="minorEastAsia" w:hAnsiTheme="minorEastAsia" w:eastAsiaTheme="minorEastAsia" w:cstheme="minorEastAsia"/>
                <w:i w:val="0"/>
                <w:iCs w:val="0"/>
                <w:color w:val="auto"/>
                <w:kern w:val="0"/>
                <w:sz w:val="21"/>
                <w:szCs w:val="21"/>
                <w:highlight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lang w:val="en-US" w:eastAsia="zh-CN" w:bidi="ar"/>
              </w:rPr>
              <w:t>绩效目标完成率=部门整体支出绩效目标申报表中已实现目标数/申报目标数×100%</w:t>
            </w:r>
          </w:p>
          <w:p w14:paraId="26402FBA">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lang w:val="en-US" w:eastAsia="zh-CN" w:bidi="ar"/>
              </w:rPr>
              <w:t>本指标得分=绩效目标完成率×3。</w:t>
            </w:r>
          </w:p>
        </w:tc>
        <w:tc>
          <w:tcPr>
            <w:tcW w:w="2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4A56C1">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lang w:eastAsia="zh-CN" w:bidi="ar"/>
              </w:rPr>
            </w:pPr>
            <w:r>
              <w:rPr>
                <w:rFonts w:hint="eastAsia" w:asciiTheme="minorEastAsia" w:hAnsiTheme="minorEastAsia" w:eastAsiaTheme="minorEastAsia" w:cstheme="minorEastAsia"/>
                <w:i w:val="0"/>
                <w:iCs w:val="0"/>
                <w:color w:val="auto"/>
                <w:kern w:val="0"/>
                <w:sz w:val="21"/>
                <w:szCs w:val="21"/>
                <w:highlight w:val="none"/>
                <w:lang w:eastAsia="zh-CN" w:bidi="ar"/>
              </w:rPr>
              <w:t>1.5</w:t>
            </w:r>
          </w:p>
        </w:tc>
        <w:tc>
          <w:tcPr>
            <w:tcW w:w="1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444C00">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Theme="minorEastAsia" w:hAnsiTheme="minorEastAsia" w:eastAsiaTheme="minorEastAsia" w:cstheme="minorEastAsia"/>
                <w:i w:val="0"/>
                <w:iCs w:val="0"/>
                <w:color w:val="auto"/>
                <w:kern w:val="0"/>
                <w:sz w:val="21"/>
                <w:szCs w:val="21"/>
                <w:highlight w:val="none"/>
                <w:lang w:eastAsia="zh-CN" w:bidi="ar"/>
              </w:rPr>
            </w:pPr>
            <w:r>
              <w:rPr>
                <w:rFonts w:hint="eastAsia" w:asciiTheme="minorEastAsia" w:hAnsiTheme="minorEastAsia" w:eastAsiaTheme="minorEastAsia" w:cstheme="minorEastAsia"/>
                <w:i w:val="0"/>
                <w:iCs w:val="0"/>
                <w:color w:val="auto"/>
                <w:kern w:val="0"/>
                <w:sz w:val="21"/>
                <w:szCs w:val="21"/>
                <w:highlight w:val="none"/>
                <w:lang w:eastAsia="zh-CN" w:bidi="ar"/>
              </w:rPr>
              <w:t>《部门整体支出绩效目标申报表》未能制定契合个性化产出和效果指标，无法进一步分解为具体的工作任务，所提供的佐证资料不充分，无法验证部门总体绩效目标的完成率。</w:t>
            </w:r>
          </w:p>
        </w:tc>
      </w:tr>
      <w:tr w14:paraId="429B0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4" w:hRule="atLeast"/>
          <w:jc w:val="center"/>
        </w:trPr>
        <w:tc>
          <w:tcPr>
            <w:tcW w:w="1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43D0DF">
            <w:pPr>
              <w:spacing w:line="240" w:lineRule="auto"/>
              <w:jc w:val="center"/>
              <w:rPr>
                <w:rFonts w:hint="eastAsia" w:asciiTheme="minorEastAsia" w:hAnsiTheme="minorEastAsia" w:eastAsiaTheme="minorEastAsia" w:cstheme="minorEastAsia"/>
                <w:color w:val="auto"/>
                <w:sz w:val="21"/>
                <w:szCs w:val="21"/>
                <w:highlight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067B6A">
            <w:pPr>
              <w:spacing w:line="240" w:lineRule="auto"/>
              <w:jc w:val="center"/>
              <w:rPr>
                <w:rFonts w:hint="eastAsia" w:asciiTheme="minorEastAsia" w:hAnsiTheme="minorEastAsia" w:eastAsiaTheme="minorEastAsia" w:cstheme="minorEastAsia"/>
                <w:color w:val="auto"/>
                <w:sz w:val="21"/>
                <w:szCs w:val="21"/>
                <w:highlight w:val="none"/>
              </w:rPr>
            </w:pPr>
          </w:p>
        </w:tc>
        <w:tc>
          <w:tcPr>
            <w:tcW w:w="1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F81D3A">
            <w:pPr>
              <w:spacing w:line="240" w:lineRule="auto"/>
              <w:jc w:val="center"/>
              <w:rPr>
                <w:rFonts w:hint="eastAsia" w:asciiTheme="minorEastAsia" w:hAnsiTheme="minorEastAsia" w:eastAsiaTheme="minorEastAsia" w:cstheme="minorEastAsia"/>
                <w:color w:val="auto"/>
                <w:sz w:val="21"/>
                <w:szCs w:val="21"/>
                <w:highlight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17C03">
            <w:pPr>
              <w:spacing w:line="240" w:lineRule="auto"/>
              <w:jc w:val="center"/>
              <w:rPr>
                <w:rFonts w:hint="eastAsia" w:asciiTheme="minorEastAsia" w:hAnsiTheme="minorEastAsia" w:eastAsiaTheme="minorEastAsia" w:cstheme="minorEastAsia"/>
                <w:color w:val="auto"/>
                <w:sz w:val="21"/>
                <w:szCs w:val="21"/>
                <w:highlight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B3AEF">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i w:val="0"/>
                <w:iCs w:val="0"/>
                <w:color w:val="auto"/>
                <w:kern w:val="0"/>
                <w:sz w:val="21"/>
                <w:szCs w:val="21"/>
                <w:highlight w:val="none"/>
                <w:lang w:val="en-US" w:eastAsia="zh-CN" w:bidi="ar"/>
              </w:rPr>
              <w:t>项目完成及时性</w:t>
            </w:r>
          </w:p>
        </w:tc>
        <w:tc>
          <w:tcPr>
            <w:tcW w:w="1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E97242">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i w:val="0"/>
                <w:iCs w:val="0"/>
                <w:color w:val="auto"/>
                <w:kern w:val="0"/>
                <w:sz w:val="21"/>
                <w:szCs w:val="21"/>
                <w:highlight w:val="none"/>
                <w:lang w:val="en-US" w:eastAsia="zh-CN" w:bidi="ar"/>
              </w:rPr>
              <w:t>3</w:t>
            </w:r>
          </w:p>
        </w:tc>
        <w:tc>
          <w:tcPr>
            <w:tcW w:w="8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F2364">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lang w:val="en-US" w:eastAsia="zh-CN" w:bidi="ar"/>
              </w:rPr>
              <w:t>反映部门（单位）项目完成情况与预期时间对比的情况。</w:t>
            </w:r>
          </w:p>
        </w:tc>
        <w:tc>
          <w:tcPr>
            <w:tcW w:w="16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B0247">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lang w:val="en-US" w:eastAsia="zh-CN" w:bidi="ar"/>
              </w:rPr>
              <w:t>所有部门预算安排的项目均按计划时间完成的，得3分；部分项目未按计划时间完成的，本指标得分=已完成项目数/项目总数×3。</w:t>
            </w:r>
          </w:p>
        </w:tc>
        <w:tc>
          <w:tcPr>
            <w:tcW w:w="2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F28DEC">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lang w:eastAsia="zh-CN" w:bidi="ar"/>
              </w:rPr>
            </w:pPr>
            <w:r>
              <w:rPr>
                <w:rFonts w:hint="eastAsia" w:asciiTheme="minorEastAsia" w:hAnsiTheme="minorEastAsia" w:eastAsiaTheme="minorEastAsia" w:cstheme="minorEastAsia"/>
                <w:i w:val="0"/>
                <w:iCs w:val="0"/>
                <w:color w:val="auto"/>
                <w:kern w:val="0"/>
                <w:sz w:val="21"/>
                <w:szCs w:val="21"/>
                <w:highlight w:val="none"/>
                <w:lang w:eastAsia="zh-CN" w:bidi="ar"/>
              </w:rPr>
              <w:t>1.5</w:t>
            </w:r>
          </w:p>
        </w:tc>
        <w:tc>
          <w:tcPr>
            <w:tcW w:w="1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DAFA0">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Theme="minorEastAsia" w:hAnsiTheme="minorEastAsia" w:eastAsiaTheme="minorEastAsia" w:cstheme="minorEastAsia"/>
                <w:i w:val="0"/>
                <w:iCs w:val="0"/>
                <w:color w:val="auto"/>
                <w:kern w:val="0"/>
                <w:sz w:val="21"/>
                <w:szCs w:val="21"/>
                <w:highlight w:val="none"/>
                <w:lang w:eastAsia="zh-CN" w:bidi="ar"/>
              </w:rPr>
            </w:pPr>
            <w:r>
              <w:rPr>
                <w:rFonts w:hint="eastAsia" w:asciiTheme="minorEastAsia" w:hAnsiTheme="minorEastAsia" w:eastAsiaTheme="minorEastAsia" w:cstheme="minorEastAsia"/>
                <w:i w:val="0"/>
                <w:iCs w:val="0"/>
                <w:color w:val="auto"/>
                <w:kern w:val="0"/>
                <w:sz w:val="21"/>
                <w:szCs w:val="21"/>
                <w:highlight w:val="none"/>
                <w:lang w:eastAsia="zh-CN" w:bidi="ar"/>
              </w:rPr>
              <w:t>未见项目《各村社区创文、疫情防控、抢险救灾支出，望杏坊建设工作经费，办事处创文、疫情防控支出》的支出材料和完成情况说明。</w:t>
            </w:r>
          </w:p>
        </w:tc>
      </w:tr>
      <w:tr w14:paraId="36EE9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77" w:hRule="atLeast"/>
          <w:jc w:val="center"/>
        </w:trPr>
        <w:tc>
          <w:tcPr>
            <w:tcW w:w="1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5EB90">
            <w:pPr>
              <w:spacing w:line="240" w:lineRule="auto"/>
              <w:jc w:val="center"/>
              <w:rPr>
                <w:rFonts w:hint="eastAsia" w:asciiTheme="minorEastAsia" w:hAnsiTheme="minorEastAsia" w:eastAsiaTheme="minorEastAsia" w:cstheme="minorEastAsia"/>
                <w:color w:val="auto"/>
                <w:sz w:val="21"/>
                <w:szCs w:val="21"/>
                <w:highlight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750E4">
            <w:pPr>
              <w:spacing w:line="240" w:lineRule="auto"/>
              <w:jc w:val="center"/>
              <w:rPr>
                <w:rFonts w:hint="eastAsia" w:asciiTheme="minorEastAsia" w:hAnsiTheme="minorEastAsia" w:eastAsiaTheme="minorEastAsia" w:cstheme="minorEastAsia"/>
                <w:color w:val="auto"/>
                <w:sz w:val="21"/>
                <w:szCs w:val="21"/>
                <w:highlight w:val="none"/>
              </w:rPr>
            </w:pPr>
          </w:p>
        </w:tc>
        <w:tc>
          <w:tcPr>
            <w:tcW w:w="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2BEB2">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i w:val="0"/>
                <w:iCs w:val="0"/>
                <w:color w:val="auto"/>
                <w:kern w:val="0"/>
                <w:sz w:val="21"/>
                <w:szCs w:val="21"/>
                <w:highlight w:val="none"/>
                <w:lang w:val="en-US" w:eastAsia="zh-CN" w:bidi="ar"/>
              </w:rPr>
              <w:t>效果性</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785E2">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i w:val="0"/>
                <w:iCs w:val="0"/>
                <w:color w:val="auto"/>
                <w:kern w:val="0"/>
                <w:sz w:val="21"/>
                <w:szCs w:val="21"/>
                <w:highlight w:val="none"/>
                <w:lang w:val="en-US" w:eastAsia="zh-CN" w:bidi="ar"/>
              </w:rPr>
              <w:t>8</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76E093">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i w:val="0"/>
                <w:iCs w:val="0"/>
                <w:color w:val="auto"/>
                <w:kern w:val="0"/>
                <w:sz w:val="21"/>
                <w:szCs w:val="21"/>
                <w:highlight w:val="none"/>
                <w:lang w:val="en-US" w:eastAsia="zh-CN" w:bidi="ar"/>
              </w:rPr>
              <w:t>社会经济环境效益</w:t>
            </w:r>
          </w:p>
        </w:tc>
        <w:tc>
          <w:tcPr>
            <w:tcW w:w="1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3DEB6">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i w:val="0"/>
                <w:iCs w:val="0"/>
                <w:color w:val="auto"/>
                <w:kern w:val="0"/>
                <w:sz w:val="21"/>
                <w:szCs w:val="21"/>
                <w:highlight w:val="none"/>
                <w:lang w:val="en-US" w:eastAsia="zh-CN" w:bidi="ar"/>
              </w:rPr>
              <w:t>8</w:t>
            </w:r>
          </w:p>
        </w:tc>
        <w:tc>
          <w:tcPr>
            <w:tcW w:w="8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67442">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lang w:val="en-US" w:eastAsia="zh-CN" w:bidi="ar"/>
              </w:rPr>
              <w:t>反映部门（单位）履行职责对经济发展、社会发展和生态环境所带来的直接或间接影响。</w:t>
            </w:r>
          </w:p>
        </w:tc>
        <w:tc>
          <w:tcPr>
            <w:tcW w:w="16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3C507">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Theme="minorEastAsia" w:hAnsiTheme="minorEastAsia" w:eastAsiaTheme="minorEastAsia" w:cstheme="minorEastAsia"/>
                <w:i w:val="0"/>
                <w:iCs w:val="0"/>
                <w:color w:val="auto"/>
                <w:kern w:val="0"/>
                <w:sz w:val="21"/>
                <w:szCs w:val="21"/>
                <w:highlight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lang w:val="en-US" w:eastAsia="zh-CN" w:bidi="ar"/>
              </w:rPr>
              <w:t>根据部门（单位）“三定”方案确定的职责，实际并结合绩效目标设立情况，有选择地设置个性化绩效指标，且通过绩效指标完成情况与目标值对比分析，进行核定得分。社会、经济、环境三个方面的效益，根据部门工作的性质，至少选择一个方面。可以从两个角度对效益进行评价：</w:t>
            </w:r>
          </w:p>
          <w:p w14:paraId="5E512999">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Theme="minorEastAsia" w:hAnsiTheme="minorEastAsia" w:eastAsiaTheme="minorEastAsia" w:cstheme="minorEastAsia"/>
                <w:i w:val="0"/>
                <w:iCs w:val="0"/>
                <w:color w:val="auto"/>
                <w:kern w:val="0"/>
                <w:sz w:val="21"/>
                <w:szCs w:val="21"/>
                <w:highlight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lang w:val="en-US" w:eastAsia="zh-CN" w:bidi="ar"/>
              </w:rPr>
              <w:t>1.部门管理的行业和领域对的主要指标能否体现部门当年履职的效果。主要指标均体现效果的，得4分；只有部分指标体现效果的，酌情扣分；</w:t>
            </w:r>
          </w:p>
          <w:p w14:paraId="40E9D72E">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lang w:val="en-US" w:eastAsia="zh-CN" w:bidi="ar"/>
              </w:rPr>
              <w:t>2.部门当年主要的项目支出是否实现了预期的效果，由评价方对照部门的支出项目进行评分。所有项目都能体现效果的，得4分；部分项目体现效果的，酌情扣分。</w:t>
            </w:r>
          </w:p>
        </w:tc>
        <w:tc>
          <w:tcPr>
            <w:tcW w:w="2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3E4C5">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lang w:eastAsia="zh-CN" w:bidi="ar"/>
              </w:rPr>
            </w:pPr>
            <w:r>
              <w:rPr>
                <w:rFonts w:hint="eastAsia" w:asciiTheme="minorEastAsia" w:hAnsiTheme="minorEastAsia" w:eastAsiaTheme="minorEastAsia" w:cstheme="minorEastAsia"/>
                <w:i w:val="0"/>
                <w:iCs w:val="0"/>
                <w:color w:val="auto"/>
                <w:kern w:val="0"/>
                <w:sz w:val="21"/>
                <w:szCs w:val="21"/>
                <w:highlight w:val="none"/>
                <w:lang w:eastAsia="zh-CN" w:bidi="ar"/>
              </w:rPr>
              <w:t>7</w:t>
            </w:r>
          </w:p>
        </w:tc>
        <w:tc>
          <w:tcPr>
            <w:tcW w:w="1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00A45">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Theme="minorEastAsia" w:hAnsiTheme="minorEastAsia" w:eastAsiaTheme="minorEastAsia" w:cstheme="minorEastAsia"/>
                <w:i w:val="0"/>
                <w:iCs w:val="0"/>
                <w:color w:val="auto"/>
                <w:kern w:val="0"/>
                <w:sz w:val="21"/>
                <w:szCs w:val="21"/>
                <w:highlight w:val="none"/>
                <w:lang w:eastAsia="zh-CN" w:bidi="ar"/>
              </w:rPr>
            </w:pPr>
            <w:r>
              <w:rPr>
                <w:rFonts w:hint="eastAsia" w:asciiTheme="minorEastAsia" w:hAnsiTheme="minorEastAsia" w:eastAsiaTheme="minorEastAsia" w:cstheme="minorEastAsia"/>
                <w:i w:val="0"/>
                <w:iCs w:val="0"/>
                <w:color w:val="auto"/>
                <w:kern w:val="0"/>
                <w:sz w:val="21"/>
                <w:szCs w:val="21"/>
                <w:highlight w:val="none"/>
                <w:lang w:eastAsia="zh-CN" w:bidi="ar"/>
              </w:rPr>
              <w:t>“各村社区创文、疫情防控、抢险救灾支出，望杏坊建设工作经费，办事处创文、疫情防控支出”一项也没有相关的执行说明及产出佐证，其所产生的社会经济环境效益并不明确。</w:t>
            </w:r>
          </w:p>
        </w:tc>
      </w:tr>
      <w:tr w14:paraId="37B01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176686">
            <w:pPr>
              <w:spacing w:line="240" w:lineRule="auto"/>
              <w:jc w:val="center"/>
              <w:rPr>
                <w:rFonts w:hint="eastAsia" w:asciiTheme="minorEastAsia" w:hAnsiTheme="minorEastAsia" w:eastAsiaTheme="minorEastAsia" w:cstheme="minorEastAsia"/>
                <w:color w:val="auto"/>
                <w:sz w:val="21"/>
                <w:szCs w:val="21"/>
                <w:highlight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2BF7C">
            <w:pPr>
              <w:spacing w:line="240" w:lineRule="auto"/>
              <w:jc w:val="center"/>
              <w:rPr>
                <w:rFonts w:hint="eastAsia" w:asciiTheme="minorEastAsia" w:hAnsiTheme="minorEastAsia" w:eastAsiaTheme="minorEastAsia" w:cstheme="minorEastAsia"/>
                <w:color w:val="auto"/>
                <w:sz w:val="21"/>
                <w:szCs w:val="21"/>
                <w:highlight w:val="none"/>
              </w:rPr>
            </w:pPr>
          </w:p>
        </w:tc>
        <w:tc>
          <w:tcPr>
            <w:tcW w:w="1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45799">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i w:val="0"/>
                <w:iCs w:val="0"/>
                <w:color w:val="auto"/>
                <w:kern w:val="0"/>
                <w:sz w:val="21"/>
                <w:szCs w:val="21"/>
                <w:highlight w:val="none"/>
                <w:lang w:val="en-US" w:eastAsia="zh-CN" w:bidi="ar"/>
              </w:rPr>
              <w:t>公平性</w:t>
            </w:r>
          </w:p>
        </w:tc>
        <w:tc>
          <w:tcPr>
            <w:tcW w:w="16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F68522">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i w:val="0"/>
                <w:iCs w:val="0"/>
                <w:color w:val="auto"/>
                <w:kern w:val="0"/>
                <w:sz w:val="21"/>
                <w:szCs w:val="21"/>
                <w:highlight w:val="none"/>
                <w:lang w:val="en-US" w:eastAsia="zh-CN" w:bidi="ar"/>
              </w:rPr>
              <w:t>3</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B9114">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i w:val="0"/>
                <w:iCs w:val="0"/>
                <w:color w:val="auto"/>
                <w:kern w:val="0"/>
                <w:sz w:val="21"/>
                <w:szCs w:val="21"/>
                <w:highlight w:val="none"/>
                <w:lang w:val="en-US" w:eastAsia="zh-CN" w:bidi="ar"/>
              </w:rPr>
              <w:t>群众信访办理情况</w:t>
            </w:r>
          </w:p>
        </w:tc>
        <w:tc>
          <w:tcPr>
            <w:tcW w:w="1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CF310">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i w:val="0"/>
                <w:iCs w:val="0"/>
                <w:color w:val="auto"/>
                <w:kern w:val="0"/>
                <w:sz w:val="21"/>
                <w:szCs w:val="21"/>
                <w:highlight w:val="none"/>
                <w:lang w:val="en-US" w:eastAsia="zh-CN" w:bidi="ar"/>
              </w:rPr>
              <w:t>1.5</w:t>
            </w:r>
          </w:p>
        </w:tc>
        <w:tc>
          <w:tcPr>
            <w:tcW w:w="8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0C01F">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lang w:val="en-US" w:eastAsia="zh-CN" w:bidi="ar"/>
              </w:rPr>
              <w:t>部门（单位）对群众信访意见的完成情况及及时性，反映部门（单位）对服务群众的重视程度。</w:t>
            </w:r>
          </w:p>
        </w:tc>
        <w:tc>
          <w:tcPr>
            <w:tcW w:w="16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0AF73">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Theme="minorEastAsia" w:hAnsiTheme="minorEastAsia" w:eastAsiaTheme="minorEastAsia" w:cstheme="minorEastAsia"/>
                <w:i w:val="0"/>
                <w:iCs w:val="0"/>
                <w:color w:val="auto"/>
                <w:kern w:val="0"/>
                <w:sz w:val="21"/>
                <w:szCs w:val="21"/>
                <w:highlight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lang w:val="en-US" w:eastAsia="zh-CN" w:bidi="ar"/>
              </w:rPr>
              <w:t>1.设置了便利的群众意见反映渠道和群众意见办理回复机制的，得0.5分；</w:t>
            </w:r>
          </w:p>
          <w:p w14:paraId="5F52D7C0">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Theme="minorEastAsia" w:hAnsiTheme="minorEastAsia" w:eastAsiaTheme="minorEastAsia" w:cstheme="minorEastAsia"/>
                <w:i w:val="0"/>
                <w:iCs w:val="0"/>
                <w:color w:val="auto"/>
                <w:kern w:val="0"/>
                <w:sz w:val="21"/>
                <w:szCs w:val="21"/>
                <w:highlight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lang w:val="en-US" w:eastAsia="zh-CN" w:bidi="ar"/>
              </w:rPr>
              <w:t>2.当年度所有群众信访意见均有回复，得0.5分，否则按比例扣分；</w:t>
            </w:r>
          </w:p>
          <w:p w14:paraId="592C56EC">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lang w:val="en-US" w:eastAsia="zh-CN" w:bidi="ar"/>
              </w:rPr>
              <w:t>3.回复意见均在规定时限内的，得0.5分，否则按比例扣分。</w:t>
            </w:r>
          </w:p>
        </w:tc>
        <w:tc>
          <w:tcPr>
            <w:tcW w:w="2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A7A01">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lang w:eastAsia="zh-CN" w:bidi="ar"/>
              </w:rPr>
            </w:pPr>
            <w:r>
              <w:rPr>
                <w:rFonts w:hint="eastAsia" w:asciiTheme="minorEastAsia" w:hAnsiTheme="minorEastAsia" w:eastAsiaTheme="minorEastAsia" w:cstheme="minorEastAsia"/>
                <w:i w:val="0"/>
                <w:iCs w:val="0"/>
                <w:color w:val="auto"/>
                <w:kern w:val="0"/>
                <w:sz w:val="21"/>
                <w:szCs w:val="21"/>
                <w:highlight w:val="none"/>
                <w:lang w:eastAsia="zh-CN" w:bidi="ar"/>
              </w:rPr>
              <w:t>1.5</w:t>
            </w:r>
          </w:p>
        </w:tc>
        <w:tc>
          <w:tcPr>
            <w:tcW w:w="1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6E10B1">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Theme="minorEastAsia" w:hAnsiTheme="minorEastAsia" w:eastAsiaTheme="minorEastAsia" w:cstheme="minorEastAsia"/>
                <w:i w:val="0"/>
                <w:iCs w:val="0"/>
                <w:color w:val="auto"/>
                <w:kern w:val="0"/>
                <w:sz w:val="21"/>
                <w:szCs w:val="21"/>
                <w:highlight w:val="none"/>
                <w:lang w:eastAsia="zh-CN" w:bidi="ar"/>
              </w:rPr>
            </w:pPr>
            <w:r>
              <w:rPr>
                <w:rFonts w:hint="eastAsia" w:asciiTheme="minorEastAsia" w:hAnsiTheme="minorEastAsia" w:eastAsiaTheme="minorEastAsia" w:cstheme="minorEastAsia"/>
                <w:i w:val="0"/>
                <w:iCs w:val="0"/>
                <w:color w:val="auto"/>
                <w:kern w:val="0"/>
                <w:sz w:val="21"/>
                <w:szCs w:val="21"/>
                <w:highlight w:val="none"/>
                <w:lang w:eastAsia="zh-CN" w:bidi="ar"/>
              </w:rPr>
              <w:t>建立了群众意见反映渠道和群众意见办理回复机制。年度群众信访情况和回复情况处理良好。</w:t>
            </w:r>
          </w:p>
        </w:tc>
      </w:tr>
      <w:tr w14:paraId="3D765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59CE2">
            <w:pPr>
              <w:spacing w:line="240" w:lineRule="auto"/>
              <w:jc w:val="center"/>
              <w:rPr>
                <w:rFonts w:hint="eastAsia" w:asciiTheme="minorEastAsia" w:hAnsiTheme="minorEastAsia" w:eastAsiaTheme="minorEastAsia" w:cstheme="minorEastAsia"/>
                <w:color w:val="auto"/>
                <w:sz w:val="21"/>
                <w:szCs w:val="21"/>
                <w:highlight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84483">
            <w:pPr>
              <w:spacing w:line="240" w:lineRule="auto"/>
              <w:jc w:val="center"/>
              <w:rPr>
                <w:rFonts w:hint="eastAsia" w:asciiTheme="minorEastAsia" w:hAnsiTheme="minorEastAsia" w:eastAsiaTheme="minorEastAsia" w:cstheme="minorEastAsia"/>
                <w:color w:val="auto"/>
                <w:sz w:val="21"/>
                <w:szCs w:val="21"/>
                <w:highlight w:val="none"/>
              </w:rPr>
            </w:pPr>
          </w:p>
        </w:tc>
        <w:tc>
          <w:tcPr>
            <w:tcW w:w="1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81509">
            <w:pPr>
              <w:spacing w:line="240" w:lineRule="auto"/>
              <w:jc w:val="center"/>
              <w:rPr>
                <w:rFonts w:hint="eastAsia" w:asciiTheme="minorEastAsia" w:hAnsiTheme="minorEastAsia" w:eastAsiaTheme="minorEastAsia" w:cstheme="minorEastAsia"/>
                <w:color w:val="auto"/>
                <w:sz w:val="21"/>
                <w:szCs w:val="21"/>
                <w:highlight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2302E9">
            <w:pPr>
              <w:spacing w:line="240" w:lineRule="auto"/>
              <w:jc w:val="center"/>
              <w:rPr>
                <w:rFonts w:hint="eastAsia" w:asciiTheme="minorEastAsia" w:hAnsiTheme="minorEastAsia" w:eastAsiaTheme="minorEastAsia" w:cstheme="minorEastAsia"/>
                <w:color w:val="auto"/>
                <w:sz w:val="21"/>
                <w:szCs w:val="21"/>
                <w:highlight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E8605">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i w:val="0"/>
                <w:iCs w:val="0"/>
                <w:color w:val="auto"/>
                <w:kern w:val="0"/>
                <w:sz w:val="21"/>
                <w:szCs w:val="21"/>
                <w:highlight w:val="none"/>
                <w:lang w:val="en-US" w:eastAsia="zh-CN" w:bidi="ar"/>
              </w:rPr>
              <w:t>公众或服务对象满意度</w:t>
            </w:r>
          </w:p>
        </w:tc>
        <w:tc>
          <w:tcPr>
            <w:tcW w:w="1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BEE4D4">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i w:val="0"/>
                <w:iCs w:val="0"/>
                <w:color w:val="auto"/>
                <w:kern w:val="0"/>
                <w:sz w:val="21"/>
                <w:szCs w:val="21"/>
                <w:highlight w:val="none"/>
                <w:lang w:val="en-US" w:eastAsia="zh-CN" w:bidi="ar"/>
              </w:rPr>
              <w:t>1.5</w:t>
            </w:r>
          </w:p>
        </w:tc>
        <w:tc>
          <w:tcPr>
            <w:tcW w:w="8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B2C95">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lang w:val="en-US" w:eastAsia="zh-CN" w:bidi="ar"/>
              </w:rPr>
              <w:t>反映社会公众或部门（单位）的服务对象对部门履职效果的满意度。</w:t>
            </w:r>
          </w:p>
        </w:tc>
        <w:tc>
          <w:tcPr>
            <w:tcW w:w="16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687A1">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lang w:val="en-US" w:eastAsia="zh-CN" w:bidi="ar"/>
              </w:rPr>
              <w:t>社会公众或服务对象是指部门（单位）履行职责而影响到的部门、群体或个人，一般采取社会调查的方式。如难以单独开展满意度调查的，可参考区统计部门的数据、年度区民主评议政风行风评价结果等数据，或者参考群众信访反馈的普遍性问题、本部门或权威第三方机构的开展满意度调查等进行合理的评分。</w:t>
            </w:r>
          </w:p>
        </w:tc>
        <w:tc>
          <w:tcPr>
            <w:tcW w:w="2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4158AF">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lang w:eastAsia="zh-CN" w:bidi="ar"/>
              </w:rPr>
            </w:pPr>
            <w:r>
              <w:rPr>
                <w:rFonts w:hint="eastAsia" w:asciiTheme="minorEastAsia" w:hAnsiTheme="minorEastAsia" w:eastAsiaTheme="minorEastAsia" w:cstheme="minorEastAsia"/>
                <w:i w:val="0"/>
                <w:iCs w:val="0"/>
                <w:color w:val="auto"/>
                <w:kern w:val="0"/>
                <w:sz w:val="21"/>
                <w:szCs w:val="21"/>
                <w:highlight w:val="none"/>
                <w:lang w:eastAsia="zh-CN" w:bidi="ar"/>
              </w:rPr>
              <w:t>1.5</w:t>
            </w:r>
          </w:p>
        </w:tc>
        <w:tc>
          <w:tcPr>
            <w:tcW w:w="1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CD1485">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Theme="minorEastAsia" w:hAnsiTheme="minorEastAsia" w:eastAsiaTheme="minorEastAsia" w:cstheme="minorEastAsia"/>
                <w:i w:val="0"/>
                <w:iCs w:val="0"/>
                <w:color w:val="auto"/>
                <w:kern w:val="0"/>
                <w:sz w:val="21"/>
                <w:szCs w:val="21"/>
                <w:highlight w:val="none"/>
                <w:lang w:eastAsia="zh-CN" w:bidi="ar"/>
              </w:rPr>
            </w:pPr>
            <w:r>
              <w:rPr>
                <w:rFonts w:hint="eastAsia" w:asciiTheme="minorEastAsia" w:hAnsiTheme="minorEastAsia" w:eastAsiaTheme="minorEastAsia" w:cstheme="minorEastAsia"/>
                <w:i w:val="0"/>
                <w:iCs w:val="0"/>
                <w:color w:val="auto"/>
                <w:kern w:val="0"/>
                <w:sz w:val="21"/>
                <w:szCs w:val="21"/>
                <w:highlight w:val="none"/>
                <w:lang w:eastAsia="zh-CN" w:bidi="ar"/>
              </w:rPr>
              <w:t>《关于开展区级机关、乡镇街道群众满意度评价调查情况的汇报》显示，西郊街道群众满意度评价得分96.48。</w:t>
            </w:r>
          </w:p>
        </w:tc>
      </w:tr>
      <w:tr w14:paraId="1B79B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0" w:hRule="atLeast"/>
          <w:jc w:val="center"/>
        </w:trPr>
        <w:tc>
          <w:tcPr>
            <w:tcW w:w="714"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1BB5A">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i w:val="0"/>
                <w:iCs w:val="0"/>
                <w:color w:val="auto"/>
                <w:kern w:val="0"/>
                <w:sz w:val="21"/>
                <w:szCs w:val="21"/>
                <w:highlight w:val="none"/>
                <w:lang w:val="en-US" w:eastAsia="zh-CN" w:bidi="ar"/>
              </w:rPr>
              <w:t>加减分项</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6A54F9">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i w:val="0"/>
                <w:iCs w:val="0"/>
                <w:color w:val="auto"/>
                <w:kern w:val="0"/>
                <w:sz w:val="21"/>
                <w:szCs w:val="21"/>
                <w:highlight w:val="none"/>
                <w:lang w:val="en-US" w:eastAsia="zh-CN" w:bidi="ar"/>
              </w:rPr>
              <w:t>工作受表彰或批评</w:t>
            </w:r>
          </w:p>
        </w:tc>
        <w:tc>
          <w:tcPr>
            <w:tcW w:w="1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DEEDE">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i w:val="0"/>
                <w:iCs w:val="0"/>
                <w:color w:val="auto"/>
                <w:kern w:val="0"/>
                <w:sz w:val="21"/>
                <w:szCs w:val="21"/>
                <w:highlight w:val="none"/>
                <w:lang w:val="en-US" w:eastAsia="zh-CN" w:bidi="ar"/>
              </w:rPr>
              <w:t>10</w:t>
            </w:r>
          </w:p>
        </w:tc>
        <w:tc>
          <w:tcPr>
            <w:tcW w:w="8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930F1">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lang w:val="en-US" w:eastAsia="zh-CN" w:bidi="ar"/>
              </w:rPr>
              <w:t>反映部门预算管理工作受表彰或批评的相关情况。</w:t>
            </w:r>
          </w:p>
        </w:tc>
        <w:tc>
          <w:tcPr>
            <w:tcW w:w="16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1DB2ED">
            <w:pPr>
              <w:keepNext w:val="0"/>
              <w:keepLines w:val="0"/>
              <w:widowControl/>
              <w:suppressLineNumbers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olor w:val="auto"/>
                <w:kern w:val="0"/>
                <w:sz w:val="21"/>
                <w:szCs w:val="21"/>
                <w:highlight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lang w:val="en-US" w:eastAsia="zh-CN" w:bidi="ar"/>
              </w:rPr>
              <w:t>1.加分项：部门完成预算编制及执行等工作较好的，受到区政府或区财政局表扬的；深化落实预算改革举措成效明显的；争取中央、省、市资金规模比上年有较大提高的，每项加2分，加分最多不超过10分；</w:t>
            </w:r>
          </w:p>
          <w:p w14:paraId="2C5C9EBA">
            <w:pPr>
              <w:keepNext w:val="0"/>
              <w:keepLines w:val="0"/>
              <w:widowControl/>
              <w:suppressLineNumbers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olor w:val="auto"/>
                <w:kern w:val="0"/>
                <w:sz w:val="21"/>
                <w:szCs w:val="21"/>
                <w:highlight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lang w:val="en-US" w:eastAsia="zh-CN" w:bidi="ar"/>
              </w:rPr>
              <w:t>2.减分项：人大、监察等有关监督部门在对各部门进行监督检查、绩效评价时,如发现在预算编制或预算执行上存在违规行为、绩效评价结果为差，并受到中央、省、市及区有关部门问责或通报批评的，每发现一起扣2分。部门未在规定时限内报送预算资料，严重影响预算编制或执行总体工作进度的，每发现一起扣1分，扣分合计不超过10分；</w:t>
            </w:r>
          </w:p>
          <w:p w14:paraId="4CA64E0E">
            <w:pPr>
              <w:keepNext w:val="0"/>
              <w:keepLines w:val="0"/>
              <w:widowControl/>
              <w:suppressLineNumbers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lang w:val="en-US" w:eastAsia="zh-CN" w:bidi="ar"/>
              </w:rPr>
              <w:t>3.同一个事项受多次表扬或批评，按一次计算加分或减分。</w:t>
            </w:r>
          </w:p>
        </w:tc>
        <w:tc>
          <w:tcPr>
            <w:tcW w:w="2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9CA31">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b/>
                <w:bCs/>
                <w:i w:val="0"/>
                <w:iCs w:val="0"/>
                <w:color w:val="auto"/>
                <w:kern w:val="0"/>
                <w:sz w:val="21"/>
                <w:szCs w:val="21"/>
                <w:highlight w:val="none"/>
                <w:lang w:eastAsia="zh-CN" w:bidi="ar"/>
              </w:rPr>
            </w:pPr>
          </w:p>
          <w:p w14:paraId="3E4812A0">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lang w:eastAsia="zh-CN" w:bidi="ar"/>
              </w:rPr>
              <w:t>2</w:t>
            </w:r>
          </w:p>
        </w:tc>
        <w:tc>
          <w:tcPr>
            <w:tcW w:w="1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7D50E5">
            <w:pPr>
              <w:keepNext w:val="0"/>
              <w:keepLines w:val="0"/>
              <w:widowControl w:val="0"/>
              <w:suppressLineNumbers w:val="0"/>
              <w:spacing w:before="0" w:beforeAutospacing="0" w:after="0" w:afterAutospacing="0" w:line="240" w:lineRule="auto"/>
              <w:ind w:left="0" w:leftChars="0" w:right="0" w:firstLine="0" w:firstLineChars="0"/>
              <w:jc w:val="center"/>
              <w:rPr>
                <w:rFonts w:hint="eastAsia" w:asciiTheme="minorEastAsia" w:hAnsiTheme="minorEastAsia" w:eastAsiaTheme="minorEastAsia" w:cstheme="minorEastAsia"/>
                <w:i w:val="0"/>
                <w:iCs w:val="0"/>
                <w:color w:val="auto"/>
                <w:kern w:val="0"/>
                <w:sz w:val="21"/>
                <w:szCs w:val="21"/>
                <w:highlight w:val="none"/>
                <w:lang w:eastAsia="zh-CN" w:bidi="ar"/>
              </w:rPr>
            </w:pPr>
          </w:p>
          <w:p w14:paraId="21522051">
            <w:pPr>
              <w:keepNext w:val="0"/>
              <w:keepLines w:val="0"/>
              <w:widowControl w:val="0"/>
              <w:suppressLineNumbers w:val="0"/>
              <w:spacing w:before="0" w:beforeAutospacing="0" w:after="0" w:afterAutospacing="0" w:line="240" w:lineRule="auto"/>
              <w:ind w:left="0" w:leftChars="0" w:right="0"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lang w:eastAsia="zh-CN" w:bidi="ar"/>
              </w:rPr>
              <w:t>根据《梅州市梅江区财政局关于2022年度预算绩效管理工作考核情况的通报》被评部门2022年度因预算编制及执行工作受到区级表扬可加2分。</w:t>
            </w:r>
            <w:r>
              <w:rPr>
                <w:rFonts w:hint="eastAsia" w:asciiTheme="minorEastAsia" w:hAnsiTheme="minorEastAsia" w:eastAsiaTheme="minorEastAsia" w:cstheme="minorEastAsia"/>
                <w:i w:val="0"/>
                <w:iCs w:val="0"/>
                <w:color w:val="auto"/>
                <w:kern w:val="0"/>
                <w:sz w:val="21"/>
                <w:szCs w:val="21"/>
                <w:highlight w:val="none"/>
                <w:lang w:val="en-US" w:eastAsia="zh-CN" w:bidi="ar"/>
              </w:rPr>
              <w:t> </w:t>
            </w:r>
          </w:p>
        </w:tc>
      </w:tr>
      <w:tr w14:paraId="678BE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14"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EFD928">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i w:val="0"/>
                <w:iCs w:val="0"/>
                <w:color w:val="auto"/>
                <w:kern w:val="0"/>
                <w:sz w:val="21"/>
                <w:szCs w:val="21"/>
                <w:highlight w:val="none"/>
                <w:lang w:val="en-US" w:eastAsia="zh-CN" w:bidi="ar"/>
              </w:rPr>
              <w:t>总分</w:t>
            </w:r>
          </w:p>
        </w:tc>
        <w:tc>
          <w:tcPr>
            <w:tcW w:w="2894"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6E1D2">
            <w:pPr>
              <w:keepNext w:val="0"/>
              <w:keepLines w:val="0"/>
              <w:widowControl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1"/>
                <w:szCs w:val="21"/>
                <w:highlight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0048C">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lang w:eastAsia="zh-CN" w:bidi="ar"/>
              </w:rPr>
              <w:t>74.43</w:t>
            </w:r>
          </w:p>
        </w:tc>
        <w:tc>
          <w:tcPr>
            <w:tcW w:w="1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F503C">
            <w:pPr>
              <w:keepNext w:val="0"/>
              <w:keepLines w:val="0"/>
              <w:widowControl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lang w:val="en-US" w:eastAsia="zh-CN" w:bidi="ar"/>
              </w:rPr>
              <w:t> </w:t>
            </w:r>
          </w:p>
        </w:tc>
      </w:tr>
      <w:tr w14:paraId="2399C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14"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951C4">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i w:val="0"/>
                <w:iCs w:val="0"/>
                <w:color w:val="auto"/>
                <w:kern w:val="0"/>
                <w:sz w:val="21"/>
                <w:szCs w:val="21"/>
                <w:highlight w:val="none"/>
                <w:lang w:val="en-US" w:eastAsia="zh-CN" w:bidi="ar"/>
              </w:rPr>
              <w:t>评级</w:t>
            </w:r>
          </w:p>
        </w:tc>
        <w:tc>
          <w:tcPr>
            <w:tcW w:w="2894"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9DA716">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lang w:val="en-US" w:eastAsia="zh-CN" w:bidi="ar"/>
              </w:rPr>
              <w:t>评级标准：优（90-100）；良（80-89）；中（60-79）；差（0-59）</w:t>
            </w:r>
          </w:p>
        </w:tc>
        <w:tc>
          <w:tcPr>
            <w:tcW w:w="2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59711D">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i w:val="0"/>
                <w:iCs w:val="0"/>
                <w:color w:val="auto"/>
                <w:kern w:val="0"/>
                <w:sz w:val="21"/>
                <w:szCs w:val="21"/>
                <w:highlight w:val="none"/>
                <w:lang w:val="en-US" w:eastAsia="zh-CN" w:bidi="ar"/>
              </w:rPr>
              <w:t>中</w:t>
            </w:r>
          </w:p>
        </w:tc>
        <w:tc>
          <w:tcPr>
            <w:tcW w:w="1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18D15D">
            <w:pPr>
              <w:spacing w:line="240" w:lineRule="auto"/>
              <w:jc w:val="center"/>
              <w:rPr>
                <w:rFonts w:hint="eastAsia" w:asciiTheme="minorEastAsia" w:hAnsiTheme="minorEastAsia" w:eastAsiaTheme="minorEastAsia" w:cstheme="minorEastAsia"/>
                <w:color w:val="auto"/>
                <w:sz w:val="21"/>
                <w:szCs w:val="21"/>
                <w:highlight w:val="none"/>
              </w:rPr>
            </w:pPr>
          </w:p>
        </w:tc>
      </w:tr>
    </w:tbl>
    <w:p w14:paraId="7E8E82DE">
      <w:pPr>
        <w:ind w:left="0" w:leftChars="0" w:firstLine="0" w:firstLineChars="0"/>
        <w:rPr>
          <w:rFonts w:ascii="仿宋_GB2312" w:hAnsi="黑体" w:eastAsia="仿宋_GB2312"/>
          <w:b/>
          <w:color w:val="auto"/>
          <w:sz w:val="22"/>
          <w:highlight w:val="none"/>
          <w:u w:val="single"/>
        </w:rPr>
      </w:pPr>
    </w:p>
    <w:p w14:paraId="31650FF7">
      <w:pPr>
        <w:autoSpaceDE w:val="0"/>
        <w:autoSpaceDN w:val="0"/>
        <w:adjustRightInd w:val="0"/>
        <w:snapToGrid w:val="0"/>
        <w:spacing w:line="288" w:lineRule="auto"/>
        <w:ind w:left="0" w:leftChars="0" w:firstLine="0" w:firstLineChars="0"/>
        <w:rPr>
          <w:rFonts w:hint="eastAsia" w:ascii="Times New Roman" w:hAnsi="Times New Roman" w:eastAsia="黑体" w:cs="Times New Roman"/>
          <w:color w:val="auto"/>
          <w:sz w:val="32"/>
          <w:szCs w:val="32"/>
          <w:highlight w:val="none"/>
        </w:rPr>
      </w:pPr>
    </w:p>
    <w:sectPr>
      <w:pgSz w:w="16838" w:h="11906" w:orient="landscape"/>
      <w:pgMar w:top="840" w:right="1440" w:bottom="1800" w:left="1440"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文星仿宋">
    <w:panose1 w:val="0201060900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72CEC">
    <w:pPr>
      <w:pStyle w:val="14"/>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FA7F02">
                          <w:pPr>
                            <w:pStyle w:val="14"/>
                            <w:jc w:val="right"/>
                          </w:pPr>
                          <w:r>
                            <w:fldChar w:fldCharType="begin"/>
                          </w:r>
                          <w:r>
                            <w:instrText xml:space="preserve"> PAGE   \* MERGEFORMAT </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EFA7F02">
                    <w:pPr>
                      <w:pStyle w:val="14"/>
                      <w:jc w:val="right"/>
                    </w:pPr>
                    <w:r>
                      <w:fldChar w:fldCharType="begin"/>
                    </w:r>
                    <w:r>
                      <w:instrText xml:space="preserve"> PAGE   \* MERGEFORMAT </w:instrText>
                    </w:r>
                    <w:r>
                      <w:fldChar w:fldCharType="separate"/>
                    </w:r>
                    <w:r>
                      <w:rPr>
                        <w:lang w:val="zh-CN"/>
                      </w:rPr>
                      <w:t>1</w:t>
                    </w:r>
                    <w:r>
                      <w:fldChar w:fldCharType="end"/>
                    </w:r>
                  </w:p>
                </w:txbxContent>
              </v:textbox>
            </v:shape>
          </w:pict>
        </mc:Fallback>
      </mc:AlternateContent>
    </w:r>
  </w:p>
  <w:p w14:paraId="590B4EDB">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7D069">
    <w:pPr>
      <w:pStyle w:val="14"/>
      <w:jc w:val="right"/>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9F4BD7">
                          <w:pPr>
                            <w:pStyle w:val="14"/>
                            <w:jc w:val="right"/>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39F4BD7">
                    <w:pPr>
                      <w:pStyle w:val="14"/>
                      <w:jc w:val="right"/>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1</w:t>
                    </w:r>
                    <w:r>
                      <w:rPr>
                        <w:sz w:val="28"/>
                        <w:szCs w:val="28"/>
                      </w:rPr>
                      <w:fldChar w:fldCharType="end"/>
                    </w:r>
                  </w:p>
                </w:txbxContent>
              </v:textbox>
            </v:shape>
          </w:pict>
        </mc:Fallback>
      </mc:AlternateContent>
    </w:r>
  </w:p>
  <w:p w14:paraId="2609CD6C">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4FD39">
    <w:pPr>
      <w:pStyle w:val="14"/>
      <w:jc w:val="righ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E1C499">
                          <w:pPr>
                            <w:pStyle w:val="14"/>
                            <w:jc w:val="right"/>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4</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EE1C499">
                    <w:pPr>
                      <w:pStyle w:val="14"/>
                      <w:jc w:val="right"/>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4</w:t>
                    </w:r>
                    <w:r>
                      <w:rPr>
                        <w:sz w:val="28"/>
                        <w:szCs w:val="28"/>
                      </w:rPr>
                      <w:fldChar w:fldCharType="end"/>
                    </w:r>
                  </w:p>
                </w:txbxContent>
              </v:textbox>
            </v:shape>
          </w:pict>
        </mc:Fallback>
      </mc:AlternateContent>
    </w:r>
  </w:p>
  <w:p w14:paraId="6365A96A">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BC9A3">
    <w:pPr>
      <w:pStyle w:val="15"/>
      <w:pBdr>
        <w:top w:val="none" w:color="auto" w:sz="0" w:space="0"/>
        <w:left w:val="none" w:color="auto" w:sz="0" w:space="0"/>
        <w:bottom w:val="none" w:color="auto" w:sz="0" w:space="1"/>
        <w:right w:val="none" w:color="auto" w:sz="0" w:space="0"/>
        <w:between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296B34"/>
    <w:multiLevelType w:val="singleLevel"/>
    <w:tmpl w:val="6E296B34"/>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oNotHyphenateCaps/>
  <w:drawingGridHorizontalSpacing w:val="105"/>
  <w:drawingGridVerticalSpacing w:val="225"/>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kZmExZmE2Y2M3NmY5ZTkyOGIyN2RiMTI1YjIyYmEifQ=="/>
  </w:docVars>
  <w:rsids>
    <w:rsidRoot w:val="00172A27"/>
    <w:rsid w:val="00011169"/>
    <w:rsid w:val="00024DD5"/>
    <w:rsid w:val="00026DD1"/>
    <w:rsid w:val="0002786E"/>
    <w:rsid w:val="0003059A"/>
    <w:rsid w:val="00031811"/>
    <w:rsid w:val="0003675F"/>
    <w:rsid w:val="00037D46"/>
    <w:rsid w:val="00042EBB"/>
    <w:rsid w:val="000439D3"/>
    <w:rsid w:val="00050D6B"/>
    <w:rsid w:val="000569D4"/>
    <w:rsid w:val="00056F38"/>
    <w:rsid w:val="00057972"/>
    <w:rsid w:val="00057D41"/>
    <w:rsid w:val="000623AB"/>
    <w:rsid w:val="000653A4"/>
    <w:rsid w:val="00065F13"/>
    <w:rsid w:val="000678F8"/>
    <w:rsid w:val="00072E4F"/>
    <w:rsid w:val="000802C3"/>
    <w:rsid w:val="0008409A"/>
    <w:rsid w:val="00091777"/>
    <w:rsid w:val="000924CA"/>
    <w:rsid w:val="000927CF"/>
    <w:rsid w:val="00092ED2"/>
    <w:rsid w:val="0009663A"/>
    <w:rsid w:val="000A22F0"/>
    <w:rsid w:val="000A2A1E"/>
    <w:rsid w:val="000A456B"/>
    <w:rsid w:val="000A7CFB"/>
    <w:rsid w:val="000B0386"/>
    <w:rsid w:val="000B7FEF"/>
    <w:rsid w:val="000C02D6"/>
    <w:rsid w:val="000C1F10"/>
    <w:rsid w:val="000C25E3"/>
    <w:rsid w:val="000C3F75"/>
    <w:rsid w:val="000C40E4"/>
    <w:rsid w:val="000D5D43"/>
    <w:rsid w:val="000E0C3B"/>
    <w:rsid w:val="000E10D6"/>
    <w:rsid w:val="000E10ED"/>
    <w:rsid w:val="000E406B"/>
    <w:rsid w:val="000E4335"/>
    <w:rsid w:val="000E4556"/>
    <w:rsid w:val="000E688C"/>
    <w:rsid w:val="000F3260"/>
    <w:rsid w:val="000F43E0"/>
    <w:rsid w:val="000F5812"/>
    <w:rsid w:val="000F7CC1"/>
    <w:rsid w:val="0010106A"/>
    <w:rsid w:val="00103E58"/>
    <w:rsid w:val="001060E4"/>
    <w:rsid w:val="00111667"/>
    <w:rsid w:val="001116FB"/>
    <w:rsid w:val="00111DF5"/>
    <w:rsid w:val="00115C66"/>
    <w:rsid w:val="00116420"/>
    <w:rsid w:val="00122674"/>
    <w:rsid w:val="0012721D"/>
    <w:rsid w:val="00130A39"/>
    <w:rsid w:val="00131684"/>
    <w:rsid w:val="001330CC"/>
    <w:rsid w:val="001335A9"/>
    <w:rsid w:val="00135EE2"/>
    <w:rsid w:val="00137EA8"/>
    <w:rsid w:val="00145667"/>
    <w:rsid w:val="00150E99"/>
    <w:rsid w:val="0015101C"/>
    <w:rsid w:val="00153A9E"/>
    <w:rsid w:val="00154BAE"/>
    <w:rsid w:val="0015606B"/>
    <w:rsid w:val="00156429"/>
    <w:rsid w:val="00163A74"/>
    <w:rsid w:val="00165A74"/>
    <w:rsid w:val="00166F6D"/>
    <w:rsid w:val="001676FD"/>
    <w:rsid w:val="0017078A"/>
    <w:rsid w:val="00172A27"/>
    <w:rsid w:val="00176B32"/>
    <w:rsid w:val="00182754"/>
    <w:rsid w:val="00182B63"/>
    <w:rsid w:val="001835C9"/>
    <w:rsid w:val="00183DAF"/>
    <w:rsid w:val="001853AE"/>
    <w:rsid w:val="00192F0C"/>
    <w:rsid w:val="0019361D"/>
    <w:rsid w:val="001A2017"/>
    <w:rsid w:val="001A3627"/>
    <w:rsid w:val="001A55C9"/>
    <w:rsid w:val="001A614D"/>
    <w:rsid w:val="001B020B"/>
    <w:rsid w:val="001B1B71"/>
    <w:rsid w:val="001B5195"/>
    <w:rsid w:val="001B5CE5"/>
    <w:rsid w:val="001C1D96"/>
    <w:rsid w:val="001C35BF"/>
    <w:rsid w:val="001C7547"/>
    <w:rsid w:val="001D3BF8"/>
    <w:rsid w:val="001D4C06"/>
    <w:rsid w:val="001D59B7"/>
    <w:rsid w:val="001D5F3F"/>
    <w:rsid w:val="001E27C1"/>
    <w:rsid w:val="001E3722"/>
    <w:rsid w:val="001F692D"/>
    <w:rsid w:val="00200CF5"/>
    <w:rsid w:val="00203C3D"/>
    <w:rsid w:val="0020485B"/>
    <w:rsid w:val="00206247"/>
    <w:rsid w:val="0020693A"/>
    <w:rsid w:val="00215BC4"/>
    <w:rsid w:val="002175D6"/>
    <w:rsid w:val="002206A4"/>
    <w:rsid w:val="002229FA"/>
    <w:rsid w:val="00223197"/>
    <w:rsid w:val="00224896"/>
    <w:rsid w:val="00226E3A"/>
    <w:rsid w:val="00233768"/>
    <w:rsid w:val="00233B00"/>
    <w:rsid w:val="0024250D"/>
    <w:rsid w:val="00243AA7"/>
    <w:rsid w:val="002524FF"/>
    <w:rsid w:val="00254145"/>
    <w:rsid w:val="00255EE5"/>
    <w:rsid w:val="002601A0"/>
    <w:rsid w:val="0026099A"/>
    <w:rsid w:val="002634AC"/>
    <w:rsid w:val="002636B4"/>
    <w:rsid w:val="00263D28"/>
    <w:rsid w:val="00264856"/>
    <w:rsid w:val="00264A30"/>
    <w:rsid w:val="0026566C"/>
    <w:rsid w:val="0026756E"/>
    <w:rsid w:val="00270544"/>
    <w:rsid w:val="00271846"/>
    <w:rsid w:val="00271D9F"/>
    <w:rsid w:val="002736B6"/>
    <w:rsid w:val="002749AF"/>
    <w:rsid w:val="00276ACD"/>
    <w:rsid w:val="002771AB"/>
    <w:rsid w:val="00281432"/>
    <w:rsid w:val="002818BC"/>
    <w:rsid w:val="00290E05"/>
    <w:rsid w:val="00292665"/>
    <w:rsid w:val="002A2D50"/>
    <w:rsid w:val="002A416A"/>
    <w:rsid w:val="002A5136"/>
    <w:rsid w:val="002A75A2"/>
    <w:rsid w:val="002B0886"/>
    <w:rsid w:val="002B2B2F"/>
    <w:rsid w:val="002B2E5C"/>
    <w:rsid w:val="002B34F5"/>
    <w:rsid w:val="002B431A"/>
    <w:rsid w:val="002B5D4E"/>
    <w:rsid w:val="002C2FFD"/>
    <w:rsid w:val="002C520A"/>
    <w:rsid w:val="002C6043"/>
    <w:rsid w:val="002D28D2"/>
    <w:rsid w:val="002D3536"/>
    <w:rsid w:val="002D401C"/>
    <w:rsid w:val="002D40F5"/>
    <w:rsid w:val="002D611C"/>
    <w:rsid w:val="002D7BF7"/>
    <w:rsid w:val="002E12A2"/>
    <w:rsid w:val="002E7ECF"/>
    <w:rsid w:val="002F0B90"/>
    <w:rsid w:val="002F2AD7"/>
    <w:rsid w:val="002F6ED1"/>
    <w:rsid w:val="002F7DA3"/>
    <w:rsid w:val="0030126C"/>
    <w:rsid w:val="003039CB"/>
    <w:rsid w:val="003053F7"/>
    <w:rsid w:val="003176DE"/>
    <w:rsid w:val="003216EE"/>
    <w:rsid w:val="00323057"/>
    <w:rsid w:val="003259CD"/>
    <w:rsid w:val="00325BF9"/>
    <w:rsid w:val="00330372"/>
    <w:rsid w:val="00330BD0"/>
    <w:rsid w:val="00331F46"/>
    <w:rsid w:val="0033369C"/>
    <w:rsid w:val="00340AA3"/>
    <w:rsid w:val="003616E1"/>
    <w:rsid w:val="00364583"/>
    <w:rsid w:val="00364E61"/>
    <w:rsid w:val="00374E7E"/>
    <w:rsid w:val="00384F61"/>
    <w:rsid w:val="00390247"/>
    <w:rsid w:val="00392DCF"/>
    <w:rsid w:val="00395EC0"/>
    <w:rsid w:val="003A2FDD"/>
    <w:rsid w:val="003A4D46"/>
    <w:rsid w:val="003B03E8"/>
    <w:rsid w:val="003B4DE1"/>
    <w:rsid w:val="003B5215"/>
    <w:rsid w:val="003B5B3B"/>
    <w:rsid w:val="003B621A"/>
    <w:rsid w:val="003C1A68"/>
    <w:rsid w:val="003C4E61"/>
    <w:rsid w:val="003C6006"/>
    <w:rsid w:val="003D296E"/>
    <w:rsid w:val="003E0111"/>
    <w:rsid w:val="003E422A"/>
    <w:rsid w:val="003E59AB"/>
    <w:rsid w:val="003F3007"/>
    <w:rsid w:val="003F70AA"/>
    <w:rsid w:val="003F72D0"/>
    <w:rsid w:val="0040279A"/>
    <w:rsid w:val="00404154"/>
    <w:rsid w:val="00404E99"/>
    <w:rsid w:val="00405937"/>
    <w:rsid w:val="00406B06"/>
    <w:rsid w:val="00407213"/>
    <w:rsid w:val="00407677"/>
    <w:rsid w:val="0041263E"/>
    <w:rsid w:val="0041281D"/>
    <w:rsid w:val="00414408"/>
    <w:rsid w:val="00415E3F"/>
    <w:rsid w:val="004162FD"/>
    <w:rsid w:val="00421B55"/>
    <w:rsid w:val="00423CE6"/>
    <w:rsid w:val="00425B5B"/>
    <w:rsid w:val="00427AE8"/>
    <w:rsid w:val="004337B9"/>
    <w:rsid w:val="00435B02"/>
    <w:rsid w:val="00435EB8"/>
    <w:rsid w:val="0043749C"/>
    <w:rsid w:val="0044225E"/>
    <w:rsid w:val="00447F69"/>
    <w:rsid w:val="004524F5"/>
    <w:rsid w:val="00452DD7"/>
    <w:rsid w:val="0045725C"/>
    <w:rsid w:val="00463EEE"/>
    <w:rsid w:val="00466542"/>
    <w:rsid w:val="004722EA"/>
    <w:rsid w:val="004742AD"/>
    <w:rsid w:val="00476447"/>
    <w:rsid w:val="00485347"/>
    <w:rsid w:val="00493BD7"/>
    <w:rsid w:val="00495E8B"/>
    <w:rsid w:val="004A139F"/>
    <w:rsid w:val="004A7D46"/>
    <w:rsid w:val="004A7E4B"/>
    <w:rsid w:val="004B055E"/>
    <w:rsid w:val="004B25D6"/>
    <w:rsid w:val="004B26DA"/>
    <w:rsid w:val="004B27F8"/>
    <w:rsid w:val="004B482F"/>
    <w:rsid w:val="004D03B0"/>
    <w:rsid w:val="004D11B9"/>
    <w:rsid w:val="004D52CF"/>
    <w:rsid w:val="004D768C"/>
    <w:rsid w:val="004E4A10"/>
    <w:rsid w:val="004F2BEF"/>
    <w:rsid w:val="004F2C25"/>
    <w:rsid w:val="004F4CF8"/>
    <w:rsid w:val="004F6CBA"/>
    <w:rsid w:val="005026BF"/>
    <w:rsid w:val="0050380D"/>
    <w:rsid w:val="00503D8C"/>
    <w:rsid w:val="00505EA8"/>
    <w:rsid w:val="00510C55"/>
    <w:rsid w:val="005118FE"/>
    <w:rsid w:val="00520461"/>
    <w:rsid w:val="00522364"/>
    <w:rsid w:val="00533E4B"/>
    <w:rsid w:val="00536226"/>
    <w:rsid w:val="005369E8"/>
    <w:rsid w:val="0054236E"/>
    <w:rsid w:val="00543B24"/>
    <w:rsid w:val="00544817"/>
    <w:rsid w:val="00544DC8"/>
    <w:rsid w:val="0054656C"/>
    <w:rsid w:val="005506CA"/>
    <w:rsid w:val="00551168"/>
    <w:rsid w:val="005644D6"/>
    <w:rsid w:val="00570915"/>
    <w:rsid w:val="0057664F"/>
    <w:rsid w:val="005858C8"/>
    <w:rsid w:val="0058622B"/>
    <w:rsid w:val="00590559"/>
    <w:rsid w:val="00592C2D"/>
    <w:rsid w:val="005A2B4E"/>
    <w:rsid w:val="005A3DF3"/>
    <w:rsid w:val="005A65EF"/>
    <w:rsid w:val="005A7E05"/>
    <w:rsid w:val="005B4435"/>
    <w:rsid w:val="005B5113"/>
    <w:rsid w:val="005B566D"/>
    <w:rsid w:val="005B5DFD"/>
    <w:rsid w:val="005B666F"/>
    <w:rsid w:val="005C0D11"/>
    <w:rsid w:val="005C106F"/>
    <w:rsid w:val="005C182B"/>
    <w:rsid w:val="005C211E"/>
    <w:rsid w:val="005C2363"/>
    <w:rsid w:val="005D2A46"/>
    <w:rsid w:val="005D5335"/>
    <w:rsid w:val="005D5407"/>
    <w:rsid w:val="005E3145"/>
    <w:rsid w:val="005E4F8F"/>
    <w:rsid w:val="005F41E3"/>
    <w:rsid w:val="005F47E9"/>
    <w:rsid w:val="005F5258"/>
    <w:rsid w:val="005F5D08"/>
    <w:rsid w:val="005F7DBF"/>
    <w:rsid w:val="00602AED"/>
    <w:rsid w:val="00603E6F"/>
    <w:rsid w:val="006040AF"/>
    <w:rsid w:val="00610830"/>
    <w:rsid w:val="0061445B"/>
    <w:rsid w:val="006158BF"/>
    <w:rsid w:val="0061615A"/>
    <w:rsid w:val="006167CA"/>
    <w:rsid w:val="00622050"/>
    <w:rsid w:val="00622836"/>
    <w:rsid w:val="00622AAA"/>
    <w:rsid w:val="00625E19"/>
    <w:rsid w:val="006263D8"/>
    <w:rsid w:val="00652E43"/>
    <w:rsid w:val="00652EF6"/>
    <w:rsid w:val="00654215"/>
    <w:rsid w:val="006559F5"/>
    <w:rsid w:val="00655C25"/>
    <w:rsid w:val="00657D2C"/>
    <w:rsid w:val="006614A0"/>
    <w:rsid w:val="00661FA6"/>
    <w:rsid w:val="00662646"/>
    <w:rsid w:val="006627C0"/>
    <w:rsid w:val="006638BE"/>
    <w:rsid w:val="00667B05"/>
    <w:rsid w:val="00671449"/>
    <w:rsid w:val="00674914"/>
    <w:rsid w:val="00677772"/>
    <w:rsid w:val="006807EB"/>
    <w:rsid w:val="006818A1"/>
    <w:rsid w:val="00685279"/>
    <w:rsid w:val="0068725E"/>
    <w:rsid w:val="006931A7"/>
    <w:rsid w:val="006A0BFF"/>
    <w:rsid w:val="006A5247"/>
    <w:rsid w:val="006B0F48"/>
    <w:rsid w:val="006B44C8"/>
    <w:rsid w:val="006B7C5C"/>
    <w:rsid w:val="006C2331"/>
    <w:rsid w:val="006C251B"/>
    <w:rsid w:val="006C291A"/>
    <w:rsid w:val="006C2F13"/>
    <w:rsid w:val="006C3497"/>
    <w:rsid w:val="006C5759"/>
    <w:rsid w:val="006D017D"/>
    <w:rsid w:val="006D4AF4"/>
    <w:rsid w:val="006D78E4"/>
    <w:rsid w:val="006E01D0"/>
    <w:rsid w:val="006E1680"/>
    <w:rsid w:val="006E1B69"/>
    <w:rsid w:val="006E1C32"/>
    <w:rsid w:val="006E3D7A"/>
    <w:rsid w:val="006E7DF7"/>
    <w:rsid w:val="006F0A36"/>
    <w:rsid w:val="006F3DAA"/>
    <w:rsid w:val="0070287D"/>
    <w:rsid w:val="00707CBF"/>
    <w:rsid w:val="00710288"/>
    <w:rsid w:val="00710D1B"/>
    <w:rsid w:val="00711AD8"/>
    <w:rsid w:val="0071314E"/>
    <w:rsid w:val="0071720C"/>
    <w:rsid w:val="00723FFC"/>
    <w:rsid w:val="0072654C"/>
    <w:rsid w:val="007305F3"/>
    <w:rsid w:val="00732185"/>
    <w:rsid w:val="00735A68"/>
    <w:rsid w:val="00744494"/>
    <w:rsid w:val="007449E0"/>
    <w:rsid w:val="00746FAA"/>
    <w:rsid w:val="00752D48"/>
    <w:rsid w:val="0075404B"/>
    <w:rsid w:val="007562B7"/>
    <w:rsid w:val="00756F92"/>
    <w:rsid w:val="0076407D"/>
    <w:rsid w:val="00766C7C"/>
    <w:rsid w:val="0076758D"/>
    <w:rsid w:val="007737EC"/>
    <w:rsid w:val="00773A88"/>
    <w:rsid w:val="00781876"/>
    <w:rsid w:val="00782333"/>
    <w:rsid w:val="007846BF"/>
    <w:rsid w:val="00795ACE"/>
    <w:rsid w:val="00795D3E"/>
    <w:rsid w:val="007A0165"/>
    <w:rsid w:val="007A1800"/>
    <w:rsid w:val="007A2C28"/>
    <w:rsid w:val="007A3060"/>
    <w:rsid w:val="007A4737"/>
    <w:rsid w:val="007A5778"/>
    <w:rsid w:val="007A73E3"/>
    <w:rsid w:val="007A7572"/>
    <w:rsid w:val="007B55CF"/>
    <w:rsid w:val="007B573C"/>
    <w:rsid w:val="007C0FCB"/>
    <w:rsid w:val="007C315C"/>
    <w:rsid w:val="007C5137"/>
    <w:rsid w:val="007C7070"/>
    <w:rsid w:val="007D0DE9"/>
    <w:rsid w:val="007D27B3"/>
    <w:rsid w:val="007D60CD"/>
    <w:rsid w:val="007D7258"/>
    <w:rsid w:val="007D7550"/>
    <w:rsid w:val="007D77DA"/>
    <w:rsid w:val="007D7CB6"/>
    <w:rsid w:val="007E1265"/>
    <w:rsid w:val="007E354A"/>
    <w:rsid w:val="007E471D"/>
    <w:rsid w:val="007E60F3"/>
    <w:rsid w:val="007F1974"/>
    <w:rsid w:val="007F56D6"/>
    <w:rsid w:val="00800B65"/>
    <w:rsid w:val="008036ED"/>
    <w:rsid w:val="00803F40"/>
    <w:rsid w:val="008040DD"/>
    <w:rsid w:val="00805F70"/>
    <w:rsid w:val="0081362C"/>
    <w:rsid w:val="00817EC9"/>
    <w:rsid w:val="008243D2"/>
    <w:rsid w:val="00824B3A"/>
    <w:rsid w:val="00825124"/>
    <w:rsid w:val="00831D7E"/>
    <w:rsid w:val="00835B08"/>
    <w:rsid w:val="008375D1"/>
    <w:rsid w:val="00840518"/>
    <w:rsid w:val="008509AA"/>
    <w:rsid w:val="00851564"/>
    <w:rsid w:val="00851870"/>
    <w:rsid w:val="00857BC1"/>
    <w:rsid w:val="008657E0"/>
    <w:rsid w:val="008716A4"/>
    <w:rsid w:val="00871FCD"/>
    <w:rsid w:val="0087384A"/>
    <w:rsid w:val="00873C5F"/>
    <w:rsid w:val="008758F6"/>
    <w:rsid w:val="00876B61"/>
    <w:rsid w:val="0089060A"/>
    <w:rsid w:val="00893DB0"/>
    <w:rsid w:val="00895A12"/>
    <w:rsid w:val="008A2322"/>
    <w:rsid w:val="008A38C0"/>
    <w:rsid w:val="008A5B56"/>
    <w:rsid w:val="008A5B9B"/>
    <w:rsid w:val="008B0926"/>
    <w:rsid w:val="008B3A44"/>
    <w:rsid w:val="008B4786"/>
    <w:rsid w:val="008B4EE1"/>
    <w:rsid w:val="008C0D53"/>
    <w:rsid w:val="008C38E2"/>
    <w:rsid w:val="008E0F9C"/>
    <w:rsid w:val="008E6C4A"/>
    <w:rsid w:val="008E6FF8"/>
    <w:rsid w:val="008E7409"/>
    <w:rsid w:val="008F2229"/>
    <w:rsid w:val="008F5DD3"/>
    <w:rsid w:val="00900094"/>
    <w:rsid w:val="0090630B"/>
    <w:rsid w:val="00906480"/>
    <w:rsid w:val="0090730A"/>
    <w:rsid w:val="009115AE"/>
    <w:rsid w:val="009128A9"/>
    <w:rsid w:val="00913CAE"/>
    <w:rsid w:val="0091422E"/>
    <w:rsid w:val="00915BA8"/>
    <w:rsid w:val="0091744C"/>
    <w:rsid w:val="00937F36"/>
    <w:rsid w:val="00941C11"/>
    <w:rsid w:val="00942155"/>
    <w:rsid w:val="00942323"/>
    <w:rsid w:val="00952D1E"/>
    <w:rsid w:val="00955169"/>
    <w:rsid w:val="00955941"/>
    <w:rsid w:val="00962BC0"/>
    <w:rsid w:val="00964C47"/>
    <w:rsid w:val="009657A9"/>
    <w:rsid w:val="00973CAB"/>
    <w:rsid w:val="009741B6"/>
    <w:rsid w:val="009836F8"/>
    <w:rsid w:val="00984AF4"/>
    <w:rsid w:val="00984F7E"/>
    <w:rsid w:val="009946D2"/>
    <w:rsid w:val="009977C0"/>
    <w:rsid w:val="009A39A9"/>
    <w:rsid w:val="009A406B"/>
    <w:rsid w:val="009B1DA7"/>
    <w:rsid w:val="009C0C7D"/>
    <w:rsid w:val="009C5E69"/>
    <w:rsid w:val="009D1415"/>
    <w:rsid w:val="009D37C1"/>
    <w:rsid w:val="009E1971"/>
    <w:rsid w:val="009E2E41"/>
    <w:rsid w:val="009F1BCC"/>
    <w:rsid w:val="009F2847"/>
    <w:rsid w:val="009F79C4"/>
    <w:rsid w:val="00A00A87"/>
    <w:rsid w:val="00A01A09"/>
    <w:rsid w:val="00A035BC"/>
    <w:rsid w:val="00A15C6E"/>
    <w:rsid w:val="00A21208"/>
    <w:rsid w:val="00A22340"/>
    <w:rsid w:val="00A277B8"/>
    <w:rsid w:val="00A31EE1"/>
    <w:rsid w:val="00A3406F"/>
    <w:rsid w:val="00A354C3"/>
    <w:rsid w:val="00A455E1"/>
    <w:rsid w:val="00A526B8"/>
    <w:rsid w:val="00A63285"/>
    <w:rsid w:val="00A63B85"/>
    <w:rsid w:val="00A70C83"/>
    <w:rsid w:val="00A74B4B"/>
    <w:rsid w:val="00A74CE1"/>
    <w:rsid w:val="00A75406"/>
    <w:rsid w:val="00A821D4"/>
    <w:rsid w:val="00A85AD4"/>
    <w:rsid w:val="00A91B95"/>
    <w:rsid w:val="00A94302"/>
    <w:rsid w:val="00AA0379"/>
    <w:rsid w:val="00AA05FC"/>
    <w:rsid w:val="00AA0D45"/>
    <w:rsid w:val="00AA1A3D"/>
    <w:rsid w:val="00AA454E"/>
    <w:rsid w:val="00AA5B97"/>
    <w:rsid w:val="00AA6755"/>
    <w:rsid w:val="00AB078B"/>
    <w:rsid w:val="00AB07AC"/>
    <w:rsid w:val="00AB0832"/>
    <w:rsid w:val="00AB16C9"/>
    <w:rsid w:val="00AB2236"/>
    <w:rsid w:val="00AC2EC6"/>
    <w:rsid w:val="00AD392C"/>
    <w:rsid w:val="00AD6430"/>
    <w:rsid w:val="00AD67D3"/>
    <w:rsid w:val="00AE1AAE"/>
    <w:rsid w:val="00AE3E8F"/>
    <w:rsid w:val="00AE40DC"/>
    <w:rsid w:val="00AE47D7"/>
    <w:rsid w:val="00AE5A15"/>
    <w:rsid w:val="00AE622D"/>
    <w:rsid w:val="00AE7374"/>
    <w:rsid w:val="00AF23F4"/>
    <w:rsid w:val="00AF34D0"/>
    <w:rsid w:val="00AF568D"/>
    <w:rsid w:val="00B01F08"/>
    <w:rsid w:val="00B02F67"/>
    <w:rsid w:val="00B04010"/>
    <w:rsid w:val="00B042D2"/>
    <w:rsid w:val="00B13875"/>
    <w:rsid w:val="00B15503"/>
    <w:rsid w:val="00B16163"/>
    <w:rsid w:val="00B21D42"/>
    <w:rsid w:val="00B23F4D"/>
    <w:rsid w:val="00B25FC6"/>
    <w:rsid w:val="00B25FDF"/>
    <w:rsid w:val="00B26D35"/>
    <w:rsid w:val="00B30DEF"/>
    <w:rsid w:val="00B31621"/>
    <w:rsid w:val="00B3619B"/>
    <w:rsid w:val="00B37160"/>
    <w:rsid w:val="00B405CF"/>
    <w:rsid w:val="00B42DEF"/>
    <w:rsid w:val="00B4757C"/>
    <w:rsid w:val="00B518F7"/>
    <w:rsid w:val="00B52F0D"/>
    <w:rsid w:val="00B5603A"/>
    <w:rsid w:val="00B731B2"/>
    <w:rsid w:val="00B772CE"/>
    <w:rsid w:val="00B7796D"/>
    <w:rsid w:val="00B804D4"/>
    <w:rsid w:val="00B81016"/>
    <w:rsid w:val="00B834E2"/>
    <w:rsid w:val="00B85A7E"/>
    <w:rsid w:val="00B911BE"/>
    <w:rsid w:val="00B96DC0"/>
    <w:rsid w:val="00BA3E9E"/>
    <w:rsid w:val="00BA491E"/>
    <w:rsid w:val="00BA5F96"/>
    <w:rsid w:val="00BB4E6C"/>
    <w:rsid w:val="00BB63E3"/>
    <w:rsid w:val="00BB6D34"/>
    <w:rsid w:val="00BB719B"/>
    <w:rsid w:val="00BD0104"/>
    <w:rsid w:val="00BD167D"/>
    <w:rsid w:val="00BD4D40"/>
    <w:rsid w:val="00BD5F77"/>
    <w:rsid w:val="00BE0CBC"/>
    <w:rsid w:val="00BE2E21"/>
    <w:rsid w:val="00BF1789"/>
    <w:rsid w:val="00C01296"/>
    <w:rsid w:val="00C02975"/>
    <w:rsid w:val="00C03145"/>
    <w:rsid w:val="00C042FF"/>
    <w:rsid w:val="00C07899"/>
    <w:rsid w:val="00C07B18"/>
    <w:rsid w:val="00C119C0"/>
    <w:rsid w:val="00C11DE1"/>
    <w:rsid w:val="00C13572"/>
    <w:rsid w:val="00C14EBD"/>
    <w:rsid w:val="00C151BC"/>
    <w:rsid w:val="00C156BD"/>
    <w:rsid w:val="00C16A1C"/>
    <w:rsid w:val="00C22B78"/>
    <w:rsid w:val="00C25B79"/>
    <w:rsid w:val="00C31CA2"/>
    <w:rsid w:val="00C34EF3"/>
    <w:rsid w:val="00C36309"/>
    <w:rsid w:val="00C37690"/>
    <w:rsid w:val="00C37C9E"/>
    <w:rsid w:val="00C505F8"/>
    <w:rsid w:val="00C50BD3"/>
    <w:rsid w:val="00C52FCA"/>
    <w:rsid w:val="00C609CA"/>
    <w:rsid w:val="00C6266D"/>
    <w:rsid w:val="00C70304"/>
    <w:rsid w:val="00C70470"/>
    <w:rsid w:val="00C72C00"/>
    <w:rsid w:val="00C75087"/>
    <w:rsid w:val="00C760FF"/>
    <w:rsid w:val="00C8052E"/>
    <w:rsid w:val="00C8402F"/>
    <w:rsid w:val="00C84EDD"/>
    <w:rsid w:val="00C86A06"/>
    <w:rsid w:val="00C90E64"/>
    <w:rsid w:val="00C934D5"/>
    <w:rsid w:val="00C96C14"/>
    <w:rsid w:val="00CA0132"/>
    <w:rsid w:val="00CA54C2"/>
    <w:rsid w:val="00CA6E99"/>
    <w:rsid w:val="00CA7CC9"/>
    <w:rsid w:val="00CB7F0F"/>
    <w:rsid w:val="00CC2085"/>
    <w:rsid w:val="00CC4995"/>
    <w:rsid w:val="00CD3763"/>
    <w:rsid w:val="00CD6873"/>
    <w:rsid w:val="00CE2C47"/>
    <w:rsid w:val="00CE461F"/>
    <w:rsid w:val="00CF0E76"/>
    <w:rsid w:val="00CF28AD"/>
    <w:rsid w:val="00CF5D53"/>
    <w:rsid w:val="00CF7F18"/>
    <w:rsid w:val="00D030FB"/>
    <w:rsid w:val="00D07197"/>
    <w:rsid w:val="00D07EAE"/>
    <w:rsid w:val="00D209BB"/>
    <w:rsid w:val="00D24564"/>
    <w:rsid w:val="00D25FEA"/>
    <w:rsid w:val="00D31864"/>
    <w:rsid w:val="00D32D43"/>
    <w:rsid w:val="00D341F0"/>
    <w:rsid w:val="00D34485"/>
    <w:rsid w:val="00D37F02"/>
    <w:rsid w:val="00D41530"/>
    <w:rsid w:val="00D4790C"/>
    <w:rsid w:val="00D523C2"/>
    <w:rsid w:val="00D526C7"/>
    <w:rsid w:val="00D541C2"/>
    <w:rsid w:val="00D60827"/>
    <w:rsid w:val="00D66637"/>
    <w:rsid w:val="00D679F9"/>
    <w:rsid w:val="00D75318"/>
    <w:rsid w:val="00D75431"/>
    <w:rsid w:val="00D8112C"/>
    <w:rsid w:val="00D856D1"/>
    <w:rsid w:val="00D90CC6"/>
    <w:rsid w:val="00D97958"/>
    <w:rsid w:val="00DA335E"/>
    <w:rsid w:val="00DA3DB0"/>
    <w:rsid w:val="00DB0C75"/>
    <w:rsid w:val="00DB0D79"/>
    <w:rsid w:val="00DC36EB"/>
    <w:rsid w:val="00DC3C60"/>
    <w:rsid w:val="00DC3F39"/>
    <w:rsid w:val="00DC52B1"/>
    <w:rsid w:val="00DC5B34"/>
    <w:rsid w:val="00DD0875"/>
    <w:rsid w:val="00DD3F7D"/>
    <w:rsid w:val="00DD6CA0"/>
    <w:rsid w:val="00DE2B3C"/>
    <w:rsid w:val="00DE3A1A"/>
    <w:rsid w:val="00DE3C51"/>
    <w:rsid w:val="00DE3C9A"/>
    <w:rsid w:val="00DF1B2B"/>
    <w:rsid w:val="00E0286B"/>
    <w:rsid w:val="00E04F01"/>
    <w:rsid w:val="00E07E2A"/>
    <w:rsid w:val="00E14ADD"/>
    <w:rsid w:val="00E15179"/>
    <w:rsid w:val="00E153B2"/>
    <w:rsid w:val="00E174C7"/>
    <w:rsid w:val="00E45335"/>
    <w:rsid w:val="00E4593E"/>
    <w:rsid w:val="00E45BFA"/>
    <w:rsid w:val="00E46F41"/>
    <w:rsid w:val="00E53202"/>
    <w:rsid w:val="00E5597F"/>
    <w:rsid w:val="00E600C5"/>
    <w:rsid w:val="00E61B7F"/>
    <w:rsid w:val="00E6563A"/>
    <w:rsid w:val="00E66BF4"/>
    <w:rsid w:val="00E674E8"/>
    <w:rsid w:val="00E76C4F"/>
    <w:rsid w:val="00E813B2"/>
    <w:rsid w:val="00E825F2"/>
    <w:rsid w:val="00E82BA5"/>
    <w:rsid w:val="00E85228"/>
    <w:rsid w:val="00E92795"/>
    <w:rsid w:val="00E942C8"/>
    <w:rsid w:val="00E943D8"/>
    <w:rsid w:val="00E94615"/>
    <w:rsid w:val="00E94C26"/>
    <w:rsid w:val="00E955BC"/>
    <w:rsid w:val="00E96C3D"/>
    <w:rsid w:val="00E9721C"/>
    <w:rsid w:val="00EA11EE"/>
    <w:rsid w:val="00EA140B"/>
    <w:rsid w:val="00EA5031"/>
    <w:rsid w:val="00EB1735"/>
    <w:rsid w:val="00EB1892"/>
    <w:rsid w:val="00EB5FC9"/>
    <w:rsid w:val="00EB7616"/>
    <w:rsid w:val="00EC2841"/>
    <w:rsid w:val="00EC7593"/>
    <w:rsid w:val="00EC761E"/>
    <w:rsid w:val="00ED2578"/>
    <w:rsid w:val="00ED284A"/>
    <w:rsid w:val="00ED36BE"/>
    <w:rsid w:val="00ED5BD6"/>
    <w:rsid w:val="00EE220C"/>
    <w:rsid w:val="00EE6D22"/>
    <w:rsid w:val="00EF235A"/>
    <w:rsid w:val="00EF300F"/>
    <w:rsid w:val="00EF40AD"/>
    <w:rsid w:val="00EF4626"/>
    <w:rsid w:val="00EF47A7"/>
    <w:rsid w:val="00EF542D"/>
    <w:rsid w:val="00EF6809"/>
    <w:rsid w:val="00EF72E0"/>
    <w:rsid w:val="00F03B79"/>
    <w:rsid w:val="00F03EB2"/>
    <w:rsid w:val="00F0486A"/>
    <w:rsid w:val="00F055CE"/>
    <w:rsid w:val="00F05870"/>
    <w:rsid w:val="00F065DC"/>
    <w:rsid w:val="00F06A84"/>
    <w:rsid w:val="00F167D3"/>
    <w:rsid w:val="00F175E0"/>
    <w:rsid w:val="00F2208F"/>
    <w:rsid w:val="00F2571D"/>
    <w:rsid w:val="00F27B7A"/>
    <w:rsid w:val="00F3021D"/>
    <w:rsid w:val="00F32B3F"/>
    <w:rsid w:val="00F347BC"/>
    <w:rsid w:val="00F35C1C"/>
    <w:rsid w:val="00F43E04"/>
    <w:rsid w:val="00F56513"/>
    <w:rsid w:val="00F5778F"/>
    <w:rsid w:val="00F60ADF"/>
    <w:rsid w:val="00F61D7A"/>
    <w:rsid w:val="00F623C3"/>
    <w:rsid w:val="00F64855"/>
    <w:rsid w:val="00F6560E"/>
    <w:rsid w:val="00F65DAB"/>
    <w:rsid w:val="00F665B7"/>
    <w:rsid w:val="00F6702F"/>
    <w:rsid w:val="00F679A7"/>
    <w:rsid w:val="00F70869"/>
    <w:rsid w:val="00F7468E"/>
    <w:rsid w:val="00F75071"/>
    <w:rsid w:val="00F77774"/>
    <w:rsid w:val="00F77CC7"/>
    <w:rsid w:val="00F77FC3"/>
    <w:rsid w:val="00F81562"/>
    <w:rsid w:val="00F82D07"/>
    <w:rsid w:val="00F84C58"/>
    <w:rsid w:val="00F85CCF"/>
    <w:rsid w:val="00F879DC"/>
    <w:rsid w:val="00F90C5B"/>
    <w:rsid w:val="00F91120"/>
    <w:rsid w:val="00F9266C"/>
    <w:rsid w:val="00F937F0"/>
    <w:rsid w:val="00F94029"/>
    <w:rsid w:val="00F96AC1"/>
    <w:rsid w:val="00FA55DA"/>
    <w:rsid w:val="00FA79DB"/>
    <w:rsid w:val="00FC25F1"/>
    <w:rsid w:val="00FC50B9"/>
    <w:rsid w:val="00FC51E9"/>
    <w:rsid w:val="00FD3609"/>
    <w:rsid w:val="00FD389F"/>
    <w:rsid w:val="00FE16F4"/>
    <w:rsid w:val="00FE6B49"/>
    <w:rsid w:val="00FF0C68"/>
    <w:rsid w:val="00FF51CE"/>
    <w:rsid w:val="00FF54AC"/>
    <w:rsid w:val="0166734A"/>
    <w:rsid w:val="018F4B23"/>
    <w:rsid w:val="021014EA"/>
    <w:rsid w:val="02A3497C"/>
    <w:rsid w:val="02F04501"/>
    <w:rsid w:val="030B6598"/>
    <w:rsid w:val="0324758F"/>
    <w:rsid w:val="035735BE"/>
    <w:rsid w:val="03932888"/>
    <w:rsid w:val="03A72842"/>
    <w:rsid w:val="054E1977"/>
    <w:rsid w:val="058D103D"/>
    <w:rsid w:val="05F12466"/>
    <w:rsid w:val="063D7ACF"/>
    <w:rsid w:val="068560C3"/>
    <w:rsid w:val="06F61FAF"/>
    <w:rsid w:val="07263AF2"/>
    <w:rsid w:val="07EB3A4F"/>
    <w:rsid w:val="080E6B61"/>
    <w:rsid w:val="087D15CE"/>
    <w:rsid w:val="088567ED"/>
    <w:rsid w:val="095B4175"/>
    <w:rsid w:val="0A33419E"/>
    <w:rsid w:val="0A60122D"/>
    <w:rsid w:val="0C023E6D"/>
    <w:rsid w:val="0C3C296C"/>
    <w:rsid w:val="0C5416C0"/>
    <w:rsid w:val="0D1C6202"/>
    <w:rsid w:val="0D866388"/>
    <w:rsid w:val="0DD169D8"/>
    <w:rsid w:val="0E571D79"/>
    <w:rsid w:val="0E7C7A80"/>
    <w:rsid w:val="0E800AFB"/>
    <w:rsid w:val="0FFF6B12"/>
    <w:rsid w:val="10630CB8"/>
    <w:rsid w:val="10645901"/>
    <w:rsid w:val="11536D2C"/>
    <w:rsid w:val="11B70288"/>
    <w:rsid w:val="11BC6E63"/>
    <w:rsid w:val="123F09C1"/>
    <w:rsid w:val="12536F6F"/>
    <w:rsid w:val="126C008B"/>
    <w:rsid w:val="126E2FA8"/>
    <w:rsid w:val="12C303A9"/>
    <w:rsid w:val="131342E7"/>
    <w:rsid w:val="14D8199F"/>
    <w:rsid w:val="150B0FE8"/>
    <w:rsid w:val="15123069"/>
    <w:rsid w:val="152E1C55"/>
    <w:rsid w:val="15EC6034"/>
    <w:rsid w:val="167315D9"/>
    <w:rsid w:val="184B1C58"/>
    <w:rsid w:val="18F67B9F"/>
    <w:rsid w:val="19091769"/>
    <w:rsid w:val="19117DF0"/>
    <w:rsid w:val="197C1229"/>
    <w:rsid w:val="198307A0"/>
    <w:rsid w:val="1B3929DA"/>
    <w:rsid w:val="1B7F70CA"/>
    <w:rsid w:val="1BC5564F"/>
    <w:rsid w:val="1C8818E9"/>
    <w:rsid w:val="1C970B0A"/>
    <w:rsid w:val="1CB57848"/>
    <w:rsid w:val="1CB661CF"/>
    <w:rsid w:val="1D062F39"/>
    <w:rsid w:val="1D0B28B6"/>
    <w:rsid w:val="1D1B527E"/>
    <w:rsid w:val="1D252287"/>
    <w:rsid w:val="1D4625CD"/>
    <w:rsid w:val="1D932166"/>
    <w:rsid w:val="1DA92B3B"/>
    <w:rsid w:val="1DE62360"/>
    <w:rsid w:val="1E01424C"/>
    <w:rsid w:val="1E8F5E33"/>
    <w:rsid w:val="1EAF2DD3"/>
    <w:rsid w:val="1F583139"/>
    <w:rsid w:val="1FB366D5"/>
    <w:rsid w:val="1FB6E31A"/>
    <w:rsid w:val="20643DA4"/>
    <w:rsid w:val="20BC0250"/>
    <w:rsid w:val="22715C6C"/>
    <w:rsid w:val="229D6524"/>
    <w:rsid w:val="23273E68"/>
    <w:rsid w:val="239A12E6"/>
    <w:rsid w:val="257F4626"/>
    <w:rsid w:val="25BB3443"/>
    <w:rsid w:val="262949D1"/>
    <w:rsid w:val="26430221"/>
    <w:rsid w:val="268E2545"/>
    <w:rsid w:val="274E3F31"/>
    <w:rsid w:val="28522AC0"/>
    <w:rsid w:val="286662D8"/>
    <w:rsid w:val="288E07BD"/>
    <w:rsid w:val="29651E26"/>
    <w:rsid w:val="29685BEE"/>
    <w:rsid w:val="29D81595"/>
    <w:rsid w:val="2A7A6E18"/>
    <w:rsid w:val="2AE66588"/>
    <w:rsid w:val="2AF02AAA"/>
    <w:rsid w:val="2CDA350C"/>
    <w:rsid w:val="2D2B3659"/>
    <w:rsid w:val="2D72581D"/>
    <w:rsid w:val="2DDA374A"/>
    <w:rsid w:val="2DF9576F"/>
    <w:rsid w:val="2E272D4A"/>
    <w:rsid w:val="2E566974"/>
    <w:rsid w:val="2E872E82"/>
    <w:rsid w:val="2EB2213F"/>
    <w:rsid w:val="2F7D6315"/>
    <w:rsid w:val="2FFD419E"/>
    <w:rsid w:val="2FFF0BF8"/>
    <w:rsid w:val="301D6236"/>
    <w:rsid w:val="3121326D"/>
    <w:rsid w:val="316E3E73"/>
    <w:rsid w:val="316F7D24"/>
    <w:rsid w:val="31AE5E8C"/>
    <w:rsid w:val="31E9156D"/>
    <w:rsid w:val="322A52E7"/>
    <w:rsid w:val="325C63C9"/>
    <w:rsid w:val="326F1DAC"/>
    <w:rsid w:val="32C83B87"/>
    <w:rsid w:val="33C94F96"/>
    <w:rsid w:val="343A5322"/>
    <w:rsid w:val="34501FB5"/>
    <w:rsid w:val="34886CEC"/>
    <w:rsid w:val="35076B3A"/>
    <w:rsid w:val="354A1E50"/>
    <w:rsid w:val="35560383"/>
    <w:rsid w:val="35944D89"/>
    <w:rsid w:val="35D90CA9"/>
    <w:rsid w:val="35E8532E"/>
    <w:rsid w:val="36C40739"/>
    <w:rsid w:val="377E3050"/>
    <w:rsid w:val="379A4213"/>
    <w:rsid w:val="37C11F60"/>
    <w:rsid w:val="383171A8"/>
    <w:rsid w:val="38C872F9"/>
    <w:rsid w:val="38D74AD2"/>
    <w:rsid w:val="38DE382B"/>
    <w:rsid w:val="39D4683C"/>
    <w:rsid w:val="3A1D2171"/>
    <w:rsid w:val="3A417FB1"/>
    <w:rsid w:val="3AB33C2F"/>
    <w:rsid w:val="3AC22B65"/>
    <w:rsid w:val="3AF453CC"/>
    <w:rsid w:val="3B0A263D"/>
    <w:rsid w:val="3B8E70D2"/>
    <w:rsid w:val="3C2D13BD"/>
    <w:rsid w:val="3CEF35D7"/>
    <w:rsid w:val="3CEF68C7"/>
    <w:rsid w:val="3CF7FF0C"/>
    <w:rsid w:val="3D0B6BEF"/>
    <w:rsid w:val="3D72358A"/>
    <w:rsid w:val="3D81107A"/>
    <w:rsid w:val="3DB805C2"/>
    <w:rsid w:val="3DDB6A2A"/>
    <w:rsid w:val="3DE84DE7"/>
    <w:rsid w:val="3DEB0694"/>
    <w:rsid w:val="3E455F5F"/>
    <w:rsid w:val="3EAF0251"/>
    <w:rsid w:val="3EFE690D"/>
    <w:rsid w:val="3FF9ADF8"/>
    <w:rsid w:val="407E100B"/>
    <w:rsid w:val="40C50144"/>
    <w:rsid w:val="413C24B0"/>
    <w:rsid w:val="413E3D4E"/>
    <w:rsid w:val="417F7602"/>
    <w:rsid w:val="41C234EC"/>
    <w:rsid w:val="42786B36"/>
    <w:rsid w:val="42C20E6C"/>
    <w:rsid w:val="43161271"/>
    <w:rsid w:val="434D6A51"/>
    <w:rsid w:val="437315CB"/>
    <w:rsid w:val="43B344E0"/>
    <w:rsid w:val="43C62287"/>
    <w:rsid w:val="43D8578E"/>
    <w:rsid w:val="43E62D0C"/>
    <w:rsid w:val="44585D60"/>
    <w:rsid w:val="445D46A8"/>
    <w:rsid w:val="453501B3"/>
    <w:rsid w:val="46A610E9"/>
    <w:rsid w:val="46D30517"/>
    <w:rsid w:val="46E82599"/>
    <w:rsid w:val="46ED0852"/>
    <w:rsid w:val="4784097C"/>
    <w:rsid w:val="488752B6"/>
    <w:rsid w:val="48AB774C"/>
    <w:rsid w:val="48B969F7"/>
    <w:rsid w:val="493F6D83"/>
    <w:rsid w:val="498D08B9"/>
    <w:rsid w:val="4A44138C"/>
    <w:rsid w:val="4A6559CB"/>
    <w:rsid w:val="4AE42316"/>
    <w:rsid w:val="4B2241EC"/>
    <w:rsid w:val="4B3D5C65"/>
    <w:rsid w:val="4BCE2712"/>
    <w:rsid w:val="4C0F611B"/>
    <w:rsid w:val="4D081426"/>
    <w:rsid w:val="4D3F0D7A"/>
    <w:rsid w:val="4D80172B"/>
    <w:rsid w:val="4D911A39"/>
    <w:rsid w:val="4DA73382"/>
    <w:rsid w:val="4DAC6130"/>
    <w:rsid w:val="4DB5402D"/>
    <w:rsid w:val="4DB636A6"/>
    <w:rsid w:val="4E804C9E"/>
    <w:rsid w:val="4EEA665A"/>
    <w:rsid w:val="4F403ADC"/>
    <w:rsid w:val="4FE2A9D0"/>
    <w:rsid w:val="501F6A39"/>
    <w:rsid w:val="503662AD"/>
    <w:rsid w:val="511A3ECF"/>
    <w:rsid w:val="51CE3B05"/>
    <w:rsid w:val="51D26202"/>
    <w:rsid w:val="51F5347E"/>
    <w:rsid w:val="52412093"/>
    <w:rsid w:val="53152D00"/>
    <w:rsid w:val="53BB206C"/>
    <w:rsid w:val="556C5C8E"/>
    <w:rsid w:val="564B4AE8"/>
    <w:rsid w:val="56520417"/>
    <w:rsid w:val="569B33BD"/>
    <w:rsid w:val="56A90DB4"/>
    <w:rsid w:val="56E969A4"/>
    <w:rsid w:val="571830B2"/>
    <w:rsid w:val="57C80098"/>
    <w:rsid w:val="58377AD0"/>
    <w:rsid w:val="58676D16"/>
    <w:rsid w:val="58691B10"/>
    <w:rsid w:val="58715D95"/>
    <w:rsid w:val="58735D6E"/>
    <w:rsid w:val="587854F0"/>
    <w:rsid w:val="5A6E6FDD"/>
    <w:rsid w:val="5ADC20D3"/>
    <w:rsid w:val="5B42190F"/>
    <w:rsid w:val="5B8642DE"/>
    <w:rsid w:val="5B8E05C7"/>
    <w:rsid w:val="5B9C23B8"/>
    <w:rsid w:val="5C95136C"/>
    <w:rsid w:val="5CC32743"/>
    <w:rsid w:val="5DC430C5"/>
    <w:rsid w:val="5DFE403C"/>
    <w:rsid w:val="5ED54965"/>
    <w:rsid w:val="5ED7545C"/>
    <w:rsid w:val="5EE52338"/>
    <w:rsid w:val="5F003072"/>
    <w:rsid w:val="5F8E3224"/>
    <w:rsid w:val="5FA249D8"/>
    <w:rsid w:val="5FAD0639"/>
    <w:rsid w:val="5FE5CD0D"/>
    <w:rsid w:val="5FF6A6C7"/>
    <w:rsid w:val="5FF7DA74"/>
    <w:rsid w:val="606D6A5D"/>
    <w:rsid w:val="614E097F"/>
    <w:rsid w:val="61A52393"/>
    <w:rsid w:val="61F729D1"/>
    <w:rsid w:val="62253157"/>
    <w:rsid w:val="62367374"/>
    <w:rsid w:val="62377066"/>
    <w:rsid w:val="62607402"/>
    <w:rsid w:val="62FF526B"/>
    <w:rsid w:val="63F3484C"/>
    <w:rsid w:val="64E341FE"/>
    <w:rsid w:val="65614DCC"/>
    <w:rsid w:val="65F900A9"/>
    <w:rsid w:val="66337E8A"/>
    <w:rsid w:val="675154EA"/>
    <w:rsid w:val="67975017"/>
    <w:rsid w:val="67C56A49"/>
    <w:rsid w:val="68600D58"/>
    <w:rsid w:val="6870132D"/>
    <w:rsid w:val="68997F4C"/>
    <w:rsid w:val="68B368A5"/>
    <w:rsid w:val="68C0685D"/>
    <w:rsid w:val="697F1C21"/>
    <w:rsid w:val="69D67F36"/>
    <w:rsid w:val="6BA4140F"/>
    <w:rsid w:val="6BA855C4"/>
    <w:rsid w:val="6BBFAFA4"/>
    <w:rsid w:val="6C0B3E91"/>
    <w:rsid w:val="6CDC58D3"/>
    <w:rsid w:val="6D1416D9"/>
    <w:rsid w:val="6D5D3FB9"/>
    <w:rsid w:val="6D741D53"/>
    <w:rsid w:val="6D86621B"/>
    <w:rsid w:val="6DA54C2F"/>
    <w:rsid w:val="6DA7F1A8"/>
    <w:rsid w:val="6DB8284B"/>
    <w:rsid w:val="6DC70A1F"/>
    <w:rsid w:val="6E24629D"/>
    <w:rsid w:val="6E357004"/>
    <w:rsid w:val="6FAEFC8B"/>
    <w:rsid w:val="6FB33031"/>
    <w:rsid w:val="6FEB7E8B"/>
    <w:rsid w:val="6FF6AE6A"/>
    <w:rsid w:val="6FFF4944"/>
    <w:rsid w:val="70195A19"/>
    <w:rsid w:val="701B0E5E"/>
    <w:rsid w:val="707F01A3"/>
    <w:rsid w:val="70AC2981"/>
    <w:rsid w:val="71234788"/>
    <w:rsid w:val="7191761F"/>
    <w:rsid w:val="729B3694"/>
    <w:rsid w:val="73032632"/>
    <w:rsid w:val="73FDC385"/>
    <w:rsid w:val="748F2B36"/>
    <w:rsid w:val="74D570D7"/>
    <w:rsid w:val="753804B7"/>
    <w:rsid w:val="75875FC5"/>
    <w:rsid w:val="75F40D0B"/>
    <w:rsid w:val="76061DF5"/>
    <w:rsid w:val="764A0F7A"/>
    <w:rsid w:val="76B0241B"/>
    <w:rsid w:val="770F877C"/>
    <w:rsid w:val="77650BC0"/>
    <w:rsid w:val="77830149"/>
    <w:rsid w:val="77C66492"/>
    <w:rsid w:val="78E955D1"/>
    <w:rsid w:val="78F753AD"/>
    <w:rsid w:val="794D4FBD"/>
    <w:rsid w:val="79587955"/>
    <w:rsid w:val="79696711"/>
    <w:rsid w:val="79960D25"/>
    <w:rsid w:val="7996212B"/>
    <w:rsid w:val="7A350E54"/>
    <w:rsid w:val="7A3B6058"/>
    <w:rsid w:val="7AA33CA0"/>
    <w:rsid w:val="7ABF0565"/>
    <w:rsid w:val="7AF7DD6D"/>
    <w:rsid w:val="7B7E2579"/>
    <w:rsid w:val="7BE22054"/>
    <w:rsid w:val="7C147FCC"/>
    <w:rsid w:val="7C5F18DB"/>
    <w:rsid w:val="7CBE067C"/>
    <w:rsid w:val="7CEB66E5"/>
    <w:rsid w:val="7D95393A"/>
    <w:rsid w:val="7DC87803"/>
    <w:rsid w:val="7DCFCBCA"/>
    <w:rsid w:val="7DFA56A8"/>
    <w:rsid w:val="7E4B7667"/>
    <w:rsid w:val="7E6B1002"/>
    <w:rsid w:val="7E9248CB"/>
    <w:rsid w:val="7F2255DF"/>
    <w:rsid w:val="7F5873F9"/>
    <w:rsid w:val="7F672AD4"/>
    <w:rsid w:val="7F7F38DF"/>
    <w:rsid w:val="7F8262D1"/>
    <w:rsid w:val="7F8E5959"/>
    <w:rsid w:val="7FBF2DA7"/>
    <w:rsid w:val="93D92587"/>
    <w:rsid w:val="97CC378A"/>
    <w:rsid w:val="97DB06AD"/>
    <w:rsid w:val="9AFADDCB"/>
    <w:rsid w:val="9B2ED852"/>
    <w:rsid w:val="9B3EAA43"/>
    <w:rsid w:val="9BDBDF36"/>
    <w:rsid w:val="ADFD1C61"/>
    <w:rsid w:val="ADFFCDA2"/>
    <w:rsid w:val="B7ABEAB6"/>
    <w:rsid w:val="BBFFEEDA"/>
    <w:rsid w:val="BCE3E41A"/>
    <w:rsid w:val="BDF632D1"/>
    <w:rsid w:val="BEF7D99E"/>
    <w:rsid w:val="BF775EC1"/>
    <w:rsid w:val="C53F77B4"/>
    <w:rsid w:val="C8FFE500"/>
    <w:rsid w:val="CBF738D1"/>
    <w:rsid w:val="D56DE02F"/>
    <w:rsid w:val="D7DD7951"/>
    <w:rsid w:val="D8CAC76A"/>
    <w:rsid w:val="DA2E89FD"/>
    <w:rsid w:val="DBCEEB70"/>
    <w:rsid w:val="DCE79593"/>
    <w:rsid w:val="DFEE77DD"/>
    <w:rsid w:val="DFFF99B5"/>
    <w:rsid w:val="E51F0989"/>
    <w:rsid w:val="E7BE8164"/>
    <w:rsid w:val="EDF7E701"/>
    <w:rsid w:val="F4EFA427"/>
    <w:rsid w:val="F7FDDA09"/>
    <w:rsid w:val="F9EFADB2"/>
    <w:rsid w:val="F9F74142"/>
    <w:rsid w:val="FABE94A1"/>
    <w:rsid w:val="FAF64411"/>
    <w:rsid w:val="FBAECD8B"/>
    <w:rsid w:val="FCD704E8"/>
    <w:rsid w:val="FD7F4B3B"/>
    <w:rsid w:val="FDAFFF74"/>
    <w:rsid w:val="FDFB35E8"/>
    <w:rsid w:val="FDFF987B"/>
    <w:rsid w:val="FE6F0CDA"/>
    <w:rsid w:val="FEFA0435"/>
    <w:rsid w:val="FF07FDF9"/>
    <w:rsid w:val="FF1F19E7"/>
    <w:rsid w:val="FFBB353E"/>
    <w:rsid w:val="FFE6CD58"/>
    <w:rsid w:val="FFEF195B"/>
    <w:rsid w:val="FFFF7E38"/>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qFormat="1" w:unhideWhenUsed="0" w:uiPriority="0" w:name="toc 1"/>
    <w:lsdException w:qFormat="1" w:unhideWhenUsed="0" w:uiPriority="0" w:name="toc 2"/>
    <w:lsdException w:qFormat="1" w:unhideWhenUsed="0" w:uiPriority="0"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iPriority="0" w:semiHidden="0" w:name="Normal Indent" w:locked="1"/>
    <w:lsdException w:qFormat="1" w:unhideWhenUsed="0" w:uiPriority="0" w:name="footnote text"/>
    <w:lsdException w:qFormat="1" w:unhideWhenUsed="0" w:uiPriority="0" w:name="annotation text" w:locked="1"/>
    <w:lsdException w:qFormat="1" w:unhideWhenUsed="0" w:uiPriority="99" w:semiHidden="0" w:name="header"/>
    <w:lsdException w:qFormat="1" w:unhideWhenUsed="0" w:uiPriority="99" w:semiHidden="0" w:name="footer"/>
    <w:lsdException w:unhideWhenUsed="0" w:uiPriority="0" w:semiHidden="0" w:name="index heading" w:locked="1"/>
    <w:lsdException w:qFormat="1" w:uiPriority="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qFormat="1" w:unhideWhenUsed="0" w:uiPriority="0" w:name="footnote reference"/>
    <w:lsdException w:qFormat="1" w:unhideWhenUsed="0" w:uiPriority="0" w:name="annotation reference" w:locked="1"/>
    <w:lsdException w:unhideWhenUsed="0" w:uiPriority="0" w:semiHidden="0" w:name="line number" w:locked="1"/>
    <w:lsdException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nhideWhenUsed="0" w:uiPriority="0" w:name="Default Paragraph Font"/>
    <w:lsdException w:qFormat="1" w:unhideWhenUsed="0" w:uiPriority="0" w:semiHidden="0" w:name="Body Text" w:locked="1"/>
    <w:lsdException w:unhideWhenUsed="0" w:uiPriority="0" w:semiHidden="0" w:name="Body Text Indent" w:locked="1"/>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ocked="1"/>
    <w:lsdException w:unhideWhenUsed="0" w:uiPriority="0" w:semiHidden="0" w:name="Body Text First Indent" w:locked="1"/>
    <w:lsdException w:unhideWhenUsed="0" w:uiPriority="0"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unhideWhenUsed="0" w:uiPriority="0" w:semiHidden="0" w:name="Body Text Indent 2" w:locked="1"/>
    <w:lsdException w:unhideWhenUsed="0" w:uiPriority="0" w:semiHidden="0" w:name="Body Text Indent 3" w:locked="1"/>
    <w:lsdException w:unhideWhenUsed="0" w:uiPriority="0" w:semiHidden="0" w:name="Block Text" w:locked="1"/>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ocked="1"/>
    <w:lsdException w:qFormat="1" w:unhideWhenUsed="0" w:uiPriority="0" w:name="Document Map"/>
    <w:lsdException w:unhideWhenUsed="0" w:uiPriority="0" w:semiHidden="0" w:name="Plain Text" w:locked="1"/>
    <w:lsdException w:unhideWhenUsed="0" w:uiPriority="0" w:semiHidden="0" w:name="E-mail Signature" w:locked="1"/>
    <w:lsdException w:qFormat="1" w:unhideWhenUsed="0" w:uiPriority="0" w:semiHidden="0" w:name="Normal (Web)"/>
    <w:lsdException w:qFormat="1" w:unhideWhenUsed="0" w:uiPriority="0" w:semiHidden="0" w:name="HTML Acronym" w:locked="1"/>
    <w:lsdException w:unhideWhenUsed="0" w:uiPriority="0" w:semiHidden="0" w:name="HTML Address" w:locked="1"/>
    <w:lsdException w:qFormat="1" w:unhideWhenUsed="0" w:uiPriority="0" w:semiHidden="0" w:name="HTML Cite" w:locked="1"/>
    <w:lsdException w:qFormat="1" w:unhideWhenUsed="0" w:uiPriority="0" w:semiHidden="0" w:name="HTML Code" w:locked="1"/>
    <w:lsdException w:qFormat="1" w:unhideWhenUsed="0" w:uiPriority="0" w:semiHidden="0" w:name="HTML Definition" w:locked="1"/>
    <w:lsdException w:qFormat="1" w:unhideWhenUsed="0" w:uiPriority="0" w:semiHidden="0" w:name="HTML Keyboard" w:locked="1"/>
    <w:lsdException w:qFormat="1" w:unhideWhenUsed="0" w:uiPriority="0" w:semiHidden="0" w:name="HTML Preformatted"/>
    <w:lsdException w:qFormat="1" w:unhideWhenUsed="0" w:uiPriority="0" w:semiHidden="0" w:name="HTML Sample" w:locked="1"/>
    <w:lsdException w:qFormat="1" w:unhideWhenUsed="0" w:uiPriority="0" w:semiHidden="0" w:name="HTML Typewriter" w:locked="1"/>
    <w:lsdException w:qFormat="1" w:unhideWhenUsed="0" w:uiPriority="0" w:semiHidden="0" w:name="HTML Variable" w:locked="1"/>
    <w:lsdException w:qFormat="1" w:unhideWhenUsed="0" w:uiPriority="0" w:name="Normal Table"/>
    <w:lsdException w:qFormat="1" w:unhideWhenUsed="0" w:uiPriority="0" w:name="annotation subject" w:locked="1"/>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0" w:name="Balloon Text"/>
    <w:lsdException w:qFormat="1" w:unhideWhenUsed="0" w:uiPriority="0" w:semiHidden="0" w:name="Table Grid" w:locked="1"/>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spacing w:line="600" w:lineRule="exact"/>
      <w:ind w:firstLine="881" w:firstLineChars="200"/>
      <w:jc w:val="both"/>
    </w:pPr>
    <w:rPr>
      <w:rFonts w:ascii="Times New Roman" w:hAnsi="Times New Roman" w:eastAsia="仿宋_GB2312" w:cs="Calibri"/>
      <w:kern w:val="2"/>
      <w:sz w:val="32"/>
      <w:szCs w:val="21"/>
      <w:lang w:val="en-US" w:eastAsia="zh-CN" w:bidi="ar-SA"/>
    </w:rPr>
  </w:style>
  <w:style w:type="paragraph" w:styleId="2">
    <w:name w:val="heading 1"/>
    <w:basedOn w:val="3"/>
    <w:next w:val="1"/>
    <w:link w:val="40"/>
    <w:qFormat/>
    <w:uiPriority w:val="0"/>
    <w:pPr>
      <w:spacing w:before="50" w:beforeLines="50" w:beforeAutospacing="0" w:after="50" w:afterLines="50" w:afterAutospacing="0"/>
      <w:jc w:val="left"/>
      <w:outlineLvl w:val="0"/>
    </w:pPr>
    <w:rPr>
      <w:rFonts w:ascii="Arial" w:hAnsi="Arial" w:eastAsia="黑体" w:cs="Times New Roman"/>
      <w:bCs/>
      <w:kern w:val="44"/>
      <w:szCs w:val="44"/>
    </w:rPr>
  </w:style>
  <w:style w:type="paragraph" w:styleId="4">
    <w:name w:val="heading 2"/>
    <w:basedOn w:val="1"/>
    <w:next w:val="1"/>
    <w:link w:val="39"/>
    <w:qFormat/>
    <w:uiPriority w:val="0"/>
    <w:pPr>
      <w:keepNext/>
      <w:keepLines/>
      <w:spacing w:after="50" w:afterLines="50" w:line="600" w:lineRule="exact"/>
      <w:outlineLvl w:val="1"/>
    </w:pPr>
    <w:rPr>
      <w:rFonts w:ascii="Cambria" w:hAnsi="Cambria" w:eastAsia="楷体_GB2312" w:cs="Times New Roman"/>
      <w:b/>
      <w:bCs/>
      <w:kern w:val="0"/>
      <w:szCs w:val="32"/>
    </w:rPr>
  </w:style>
  <w:style w:type="paragraph" w:styleId="5">
    <w:name w:val="heading 3"/>
    <w:basedOn w:val="1"/>
    <w:next w:val="1"/>
    <w:link w:val="41"/>
    <w:qFormat/>
    <w:uiPriority w:val="0"/>
    <w:pPr>
      <w:widowControl/>
      <w:spacing w:beforeAutospacing="0" w:afterAutospacing="0"/>
      <w:jc w:val="left"/>
      <w:outlineLvl w:val="2"/>
    </w:pPr>
    <w:rPr>
      <w:rFonts w:cs="Times New Roman"/>
      <w:b/>
      <w:bCs/>
      <w:kern w:val="0"/>
      <w:szCs w:val="32"/>
    </w:rPr>
  </w:style>
  <w:style w:type="paragraph" w:styleId="6">
    <w:name w:val="heading 4"/>
    <w:basedOn w:val="1"/>
    <w:next w:val="1"/>
    <w:semiHidden/>
    <w:unhideWhenUsed/>
    <w:qFormat/>
    <w:locked/>
    <w:uiPriority w:val="0"/>
    <w:pPr>
      <w:keepNext/>
      <w:keepLines/>
      <w:spacing w:before="50" w:beforeLines="50" w:beforeAutospacing="0" w:after="50" w:afterLines="50" w:afterAutospacing="0" w:line="600" w:lineRule="exact"/>
      <w:outlineLvl w:val="3"/>
    </w:pPr>
    <w:rPr>
      <w:rFonts w:ascii="Arial" w:hAnsi="Arial" w:eastAsia="仿宋_GB2312"/>
      <w:b/>
      <w:sz w:val="32"/>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3">
    <w:name w:val="Title"/>
    <w:basedOn w:val="1"/>
    <w:qFormat/>
    <w:locked/>
    <w:uiPriority w:val="0"/>
    <w:pPr>
      <w:spacing w:before="240" w:beforeLines="0" w:beforeAutospacing="0" w:after="60" w:afterLines="0" w:afterAutospacing="0"/>
      <w:jc w:val="center"/>
      <w:outlineLvl w:val="0"/>
    </w:pPr>
    <w:rPr>
      <w:rFonts w:ascii="Arial" w:hAnsi="Arial"/>
      <w:b/>
      <w:sz w:val="32"/>
    </w:rPr>
  </w:style>
  <w:style w:type="paragraph" w:styleId="7">
    <w:name w:val="Normal Indent"/>
    <w:basedOn w:val="1"/>
    <w:next w:val="1"/>
    <w:unhideWhenUsed/>
    <w:qFormat/>
    <w:locked/>
    <w:uiPriority w:val="0"/>
    <w:pPr>
      <w:ind w:firstLine="420"/>
    </w:pPr>
    <w:rPr>
      <w:rFonts w:ascii="Calibri" w:hAnsi="Calibri" w:eastAsia="宋体"/>
    </w:rPr>
  </w:style>
  <w:style w:type="paragraph" w:styleId="8">
    <w:name w:val="Document Map"/>
    <w:basedOn w:val="1"/>
    <w:link w:val="51"/>
    <w:semiHidden/>
    <w:qFormat/>
    <w:uiPriority w:val="0"/>
    <w:rPr>
      <w:rFonts w:ascii="宋体" w:cs="Times New Roman"/>
      <w:sz w:val="18"/>
      <w:szCs w:val="18"/>
    </w:rPr>
  </w:style>
  <w:style w:type="paragraph" w:styleId="9">
    <w:name w:val="annotation text"/>
    <w:basedOn w:val="1"/>
    <w:link w:val="48"/>
    <w:semiHidden/>
    <w:qFormat/>
    <w:locked/>
    <w:uiPriority w:val="0"/>
    <w:pPr>
      <w:jc w:val="left"/>
    </w:pPr>
    <w:rPr>
      <w:rFonts w:cs="Times New Roman"/>
      <w:kern w:val="0"/>
    </w:rPr>
  </w:style>
  <w:style w:type="paragraph" w:styleId="10">
    <w:name w:val="Body Text"/>
    <w:basedOn w:val="1"/>
    <w:link w:val="44"/>
    <w:qFormat/>
    <w:locked/>
    <w:uiPriority w:val="0"/>
    <w:pPr>
      <w:ind w:left="106"/>
      <w:jc w:val="left"/>
    </w:pPr>
    <w:rPr>
      <w:rFonts w:cs="Times New Roman"/>
      <w:kern w:val="0"/>
    </w:rPr>
  </w:style>
  <w:style w:type="paragraph" w:styleId="11">
    <w:name w:val="toc 3"/>
    <w:basedOn w:val="1"/>
    <w:next w:val="1"/>
    <w:semiHidden/>
    <w:qFormat/>
    <w:uiPriority w:val="0"/>
    <w:pPr>
      <w:ind w:left="840" w:leftChars="400"/>
    </w:pPr>
  </w:style>
  <w:style w:type="paragraph" w:styleId="12">
    <w:name w:val="Date"/>
    <w:basedOn w:val="1"/>
    <w:next w:val="1"/>
    <w:link w:val="49"/>
    <w:qFormat/>
    <w:locked/>
    <w:uiPriority w:val="0"/>
    <w:pPr>
      <w:ind w:left="100" w:leftChars="2500"/>
    </w:pPr>
    <w:rPr>
      <w:rFonts w:cs="Times New Roman"/>
    </w:rPr>
  </w:style>
  <w:style w:type="paragraph" w:styleId="13">
    <w:name w:val="Balloon Text"/>
    <w:basedOn w:val="1"/>
    <w:link w:val="50"/>
    <w:semiHidden/>
    <w:qFormat/>
    <w:uiPriority w:val="0"/>
    <w:rPr>
      <w:rFonts w:cs="Times New Roman"/>
      <w:sz w:val="18"/>
      <w:szCs w:val="18"/>
    </w:rPr>
  </w:style>
  <w:style w:type="paragraph" w:styleId="14">
    <w:name w:val="footer"/>
    <w:basedOn w:val="1"/>
    <w:link w:val="43"/>
    <w:qFormat/>
    <w:uiPriority w:val="99"/>
    <w:pPr>
      <w:tabs>
        <w:tab w:val="center" w:pos="4153"/>
        <w:tab w:val="right" w:pos="8306"/>
      </w:tabs>
      <w:snapToGrid w:val="0"/>
      <w:jc w:val="left"/>
    </w:pPr>
    <w:rPr>
      <w:rFonts w:cs="Times New Roman"/>
      <w:sz w:val="18"/>
      <w:szCs w:val="18"/>
    </w:rPr>
  </w:style>
  <w:style w:type="paragraph" w:styleId="15">
    <w:name w:val="header"/>
    <w:basedOn w:val="1"/>
    <w:link w:val="45"/>
    <w:qFormat/>
    <w:uiPriority w:val="99"/>
    <w:pPr>
      <w:pBdr>
        <w:bottom w:val="single" w:color="auto" w:sz="6" w:space="1"/>
      </w:pBdr>
      <w:tabs>
        <w:tab w:val="center" w:pos="4153"/>
        <w:tab w:val="right" w:pos="8306"/>
      </w:tabs>
      <w:snapToGrid w:val="0"/>
      <w:jc w:val="center"/>
    </w:pPr>
    <w:rPr>
      <w:rFonts w:cs="Times New Roman"/>
      <w:sz w:val="18"/>
      <w:szCs w:val="18"/>
    </w:rPr>
  </w:style>
  <w:style w:type="paragraph" w:styleId="16">
    <w:name w:val="toc 1"/>
    <w:basedOn w:val="1"/>
    <w:next w:val="1"/>
    <w:semiHidden/>
    <w:qFormat/>
    <w:uiPriority w:val="0"/>
  </w:style>
  <w:style w:type="paragraph" w:styleId="17">
    <w:name w:val="footnote text"/>
    <w:basedOn w:val="1"/>
    <w:link w:val="47"/>
    <w:semiHidden/>
    <w:qFormat/>
    <w:uiPriority w:val="0"/>
    <w:pPr>
      <w:snapToGrid w:val="0"/>
      <w:jc w:val="left"/>
    </w:pPr>
    <w:rPr>
      <w:rFonts w:cs="Times New Roman"/>
      <w:kern w:val="0"/>
      <w:sz w:val="18"/>
      <w:szCs w:val="18"/>
    </w:rPr>
  </w:style>
  <w:style w:type="paragraph" w:styleId="18">
    <w:name w:val="toc 2"/>
    <w:basedOn w:val="1"/>
    <w:next w:val="1"/>
    <w:semiHidden/>
    <w:qFormat/>
    <w:uiPriority w:val="0"/>
    <w:pPr>
      <w:ind w:left="420" w:leftChars="200"/>
    </w:pPr>
  </w:style>
  <w:style w:type="paragraph" w:styleId="19">
    <w:name w:val="HTML Preformatted"/>
    <w:basedOn w:val="1"/>
    <w:link w:val="4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Times New Roman"/>
      <w:kern w:val="0"/>
      <w:sz w:val="20"/>
      <w:szCs w:val="20"/>
    </w:rPr>
  </w:style>
  <w:style w:type="paragraph" w:styleId="20">
    <w:name w:val="Normal (Web)"/>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styleId="21">
    <w:name w:val="annotation subject"/>
    <w:basedOn w:val="9"/>
    <w:next w:val="9"/>
    <w:semiHidden/>
    <w:qFormat/>
    <w:locked/>
    <w:uiPriority w:val="0"/>
    <w:rPr>
      <w:b/>
      <w:bCs/>
    </w:rPr>
  </w:style>
  <w:style w:type="table" w:styleId="23">
    <w:name w:val="Table Grid"/>
    <w:basedOn w:val="22"/>
    <w:qFormat/>
    <w:locked/>
    <w:uiPriority w:val="0"/>
    <w:pPr>
      <w:widowControl w:val="0"/>
      <w:jc w:val="both"/>
    </w:pPr>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qFormat/>
    <w:uiPriority w:val="0"/>
    <w:rPr>
      <w:rFonts w:cs="Times New Roman"/>
      <w:b/>
      <w:bCs/>
    </w:rPr>
  </w:style>
  <w:style w:type="character" w:styleId="26">
    <w:name w:val="FollowedHyperlink"/>
    <w:qFormat/>
    <w:uiPriority w:val="0"/>
    <w:rPr>
      <w:rFonts w:cs="Times New Roman"/>
      <w:color w:val="333333"/>
      <w:sz w:val="24"/>
      <w:szCs w:val="24"/>
      <w:u w:val="none"/>
      <w:vertAlign w:val="baseline"/>
    </w:rPr>
  </w:style>
  <w:style w:type="character" w:styleId="27">
    <w:name w:val="Emphasis"/>
    <w:basedOn w:val="24"/>
    <w:qFormat/>
    <w:locked/>
    <w:uiPriority w:val="0"/>
  </w:style>
  <w:style w:type="character" w:styleId="28">
    <w:name w:val="HTML Definition"/>
    <w:basedOn w:val="24"/>
    <w:qFormat/>
    <w:locked/>
    <w:uiPriority w:val="0"/>
  </w:style>
  <w:style w:type="character" w:styleId="29">
    <w:name w:val="HTML Typewriter"/>
    <w:basedOn w:val="24"/>
    <w:qFormat/>
    <w:locked/>
    <w:uiPriority w:val="0"/>
    <w:rPr>
      <w:rFonts w:hint="default" w:ascii="Courier New" w:hAnsi="Courier New" w:cs="Courier New"/>
      <w:sz w:val="20"/>
    </w:rPr>
  </w:style>
  <w:style w:type="character" w:styleId="30">
    <w:name w:val="HTML Acronym"/>
    <w:basedOn w:val="24"/>
    <w:qFormat/>
    <w:locked/>
    <w:uiPriority w:val="0"/>
  </w:style>
  <w:style w:type="character" w:styleId="31">
    <w:name w:val="HTML Variable"/>
    <w:basedOn w:val="24"/>
    <w:qFormat/>
    <w:locked/>
    <w:uiPriority w:val="0"/>
  </w:style>
  <w:style w:type="character" w:styleId="32">
    <w:name w:val="Hyperlink"/>
    <w:qFormat/>
    <w:uiPriority w:val="0"/>
    <w:rPr>
      <w:rFonts w:cs="Times New Roman"/>
      <w:color w:val="0563C1"/>
      <w:u w:val="single"/>
    </w:rPr>
  </w:style>
  <w:style w:type="character" w:styleId="33">
    <w:name w:val="HTML Code"/>
    <w:basedOn w:val="24"/>
    <w:qFormat/>
    <w:locked/>
    <w:uiPriority w:val="0"/>
    <w:rPr>
      <w:rFonts w:hint="default" w:ascii="Courier New" w:hAnsi="Courier New" w:cs="Courier New"/>
      <w:sz w:val="20"/>
    </w:rPr>
  </w:style>
  <w:style w:type="character" w:styleId="34">
    <w:name w:val="annotation reference"/>
    <w:semiHidden/>
    <w:qFormat/>
    <w:locked/>
    <w:uiPriority w:val="0"/>
    <w:rPr>
      <w:rFonts w:cs="Times New Roman"/>
      <w:sz w:val="21"/>
      <w:szCs w:val="21"/>
    </w:rPr>
  </w:style>
  <w:style w:type="character" w:styleId="35">
    <w:name w:val="HTML Cite"/>
    <w:basedOn w:val="24"/>
    <w:qFormat/>
    <w:locked/>
    <w:uiPriority w:val="0"/>
  </w:style>
  <w:style w:type="character" w:styleId="36">
    <w:name w:val="footnote reference"/>
    <w:basedOn w:val="24"/>
    <w:semiHidden/>
    <w:qFormat/>
    <w:uiPriority w:val="0"/>
    <w:rPr>
      <w:rFonts w:ascii="Verdana" w:hAnsi="Verdana" w:cs="Times New Roman"/>
      <w:b/>
      <w:i/>
      <w:iCs/>
      <w:color w:val="000000"/>
      <w:kern w:val="0"/>
      <w:sz w:val="20"/>
      <w:szCs w:val="20"/>
      <w:vertAlign w:val="superscript"/>
      <w:lang w:eastAsia="en-US"/>
    </w:rPr>
  </w:style>
  <w:style w:type="character" w:styleId="37">
    <w:name w:val="HTML Keyboard"/>
    <w:basedOn w:val="24"/>
    <w:qFormat/>
    <w:locked/>
    <w:uiPriority w:val="0"/>
    <w:rPr>
      <w:rFonts w:hint="default" w:ascii="Courier New" w:hAnsi="Courier New" w:cs="Courier New"/>
      <w:sz w:val="20"/>
    </w:rPr>
  </w:style>
  <w:style w:type="character" w:styleId="38">
    <w:name w:val="HTML Sample"/>
    <w:basedOn w:val="24"/>
    <w:qFormat/>
    <w:locked/>
    <w:uiPriority w:val="0"/>
    <w:rPr>
      <w:rFonts w:ascii="Courier New" w:hAnsi="Courier New" w:cs="Courier New"/>
    </w:rPr>
  </w:style>
  <w:style w:type="character" w:customStyle="1" w:styleId="39">
    <w:name w:val="标题 2 Char"/>
    <w:link w:val="4"/>
    <w:semiHidden/>
    <w:qFormat/>
    <w:locked/>
    <w:uiPriority w:val="0"/>
    <w:rPr>
      <w:rFonts w:ascii="Cambria" w:hAnsi="Cambria" w:eastAsia="楷体_GB2312" w:cs="Times New Roman"/>
      <w:b/>
      <w:bCs/>
      <w:sz w:val="32"/>
      <w:szCs w:val="32"/>
    </w:rPr>
  </w:style>
  <w:style w:type="character" w:customStyle="1" w:styleId="40">
    <w:name w:val="标题 1 Char"/>
    <w:link w:val="2"/>
    <w:qFormat/>
    <w:locked/>
    <w:uiPriority w:val="0"/>
    <w:rPr>
      <w:rFonts w:ascii="Arial" w:hAnsi="Arial" w:eastAsia="黑体" w:cs="Calibri"/>
      <w:b/>
      <w:bCs/>
      <w:kern w:val="44"/>
      <w:sz w:val="32"/>
      <w:szCs w:val="44"/>
    </w:rPr>
  </w:style>
  <w:style w:type="character" w:customStyle="1" w:styleId="41">
    <w:name w:val="标题 3 Char"/>
    <w:link w:val="5"/>
    <w:semiHidden/>
    <w:qFormat/>
    <w:locked/>
    <w:uiPriority w:val="0"/>
    <w:rPr>
      <w:rFonts w:eastAsia="仿宋_GB2312" w:cs="Calibri"/>
      <w:b/>
      <w:bCs/>
      <w:sz w:val="32"/>
      <w:szCs w:val="32"/>
    </w:rPr>
  </w:style>
  <w:style w:type="paragraph" w:styleId="42">
    <w:name w:val="List Paragraph"/>
    <w:basedOn w:val="1"/>
    <w:qFormat/>
    <w:uiPriority w:val="34"/>
    <w:pPr>
      <w:ind w:firstLine="420" w:firstLineChars="200"/>
    </w:pPr>
  </w:style>
  <w:style w:type="character" w:customStyle="1" w:styleId="43">
    <w:name w:val="页脚 Char"/>
    <w:link w:val="14"/>
    <w:qFormat/>
    <w:locked/>
    <w:uiPriority w:val="99"/>
    <w:rPr>
      <w:rFonts w:cs="Calibri"/>
      <w:kern w:val="2"/>
      <w:sz w:val="18"/>
      <w:szCs w:val="18"/>
    </w:rPr>
  </w:style>
  <w:style w:type="character" w:customStyle="1" w:styleId="44">
    <w:name w:val="正文文本 Char"/>
    <w:link w:val="10"/>
    <w:semiHidden/>
    <w:qFormat/>
    <w:locked/>
    <w:uiPriority w:val="0"/>
    <w:rPr>
      <w:rFonts w:cs="Calibri"/>
      <w:sz w:val="21"/>
      <w:szCs w:val="21"/>
    </w:rPr>
  </w:style>
  <w:style w:type="character" w:customStyle="1" w:styleId="45">
    <w:name w:val="页眉 Char"/>
    <w:link w:val="15"/>
    <w:qFormat/>
    <w:locked/>
    <w:uiPriority w:val="99"/>
    <w:rPr>
      <w:rFonts w:cs="Calibri"/>
      <w:kern w:val="2"/>
      <w:sz w:val="18"/>
      <w:szCs w:val="18"/>
    </w:rPr>
  </w:style>
  <w:style w:type="character" w:customStyle="1" w:styleId="46">
    <w:name w:val="HTML 预设格式 Char"/>
    <w:link w:val="19"/>
    <w:semiHidden/>
    <w:qFormat/>
    <w:locked/>
    <w:uiPriority w:val="0"/>
    <w:rPr>
      <w:rFonts w:ascii="Courier New" w:hAnsi="Courier New" w:cs="Courier New"/>
      <w:sz w:val="20"/>
      <w:szCs w:val="20"/>
    </w:rPr>
  </w:style>
  <w:style w:type="character" w:customStyle="1" w:styleId="47">
    <w:name w:val="脚注文本 Char"/>
    <w:link w:val="17"/>
    <w:semiHidden/>
    <w:qFormat/>
    <w:locked/>
    <w:uiPriority w:val="0"/>
    <w:rPr>
      <w:rFonts w:cs="Calibri"/>
      <w:sz w:val="18"/>
      <w:szCs w:val="18"/>
    </w:rPr>
  </w:style>
  <w:style w:type="character" w:customStyle="1" w:styleId="48">
    <w:name w:val="批注文字 Char"/>
    <w:link w:val="9"/>
    <w:semiHidden/>
    <w:qFormat/>
    <w:locked/>
    <w:uiPriority w:val="0"/>
    <w:rPr>
      <w:rFonts w:cs="Calibri"/>
      <w:sz w:val="21"/>
      <w:szCs w:val="21"/>
    </w:rPr>
  </w:style>
  <w:style w:type="character" w:customStyle="1" w:styleId="49">
    <w:name w:val="日期 Char"/>
    <w:link w:val="12"/>
    <w:semiHidden/>
    <w:qFormat/>
    <w:locked/>
    <w:uiPriority w:val="0"/>
    <w:rPr>
      <w:rFonts w:cs="Calibri"/>
      <w:kern w:val="2"/>
      <w:sz w:val="21"/>
      <w:szCs w:val="21"/>
    </w:rPr>
  </w:style>
  <w:style w:type="character" w:customStyle="1" w:styleId="50">
    <w:name w:val="批注框文本 Char"/>
    <w:link w:val="13"/>
    <w:qFormat/>
    <w:locked/>
    <w:uiPriority w:val="0"/>
    <w:rPr>
      <w:rFonts w:cs="Calibri"/>
      <w:kern w:val="2"/>
      <w:sz w:val="18"/>
      <w:szCs w:val="18"/>
    </w:rPr>
  </w:style>
  <w:style w:type="character" w:customStyle="1" w:styleId="51">
    <w:name w:val="文档结构图 Char"/>
    <w:link w:val="8"/>
    <w:qFormat/>
    <w:locked/>
    <w:uiPriority w:val="0"/>
    <w:rPr>
      <w:rFonts w:ascii="宋体" w:cs="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55</Pages>
  <Words>6275</Words>
  <Characters>6701</Characters>
  <Lines>1</Lines>
  <Paragraphs>1</Paragraphs>
  <TotalTime>0</TotalTime>
  <ScaleCrop>false</ScaleCrop>
  <LinksUpToDate>false</LinksUpToDate>
  <CharactersWithSpaces>6779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2017-09-09T15:38:00Z</dcterms:created>
  <dc:creator>李贤浩</dc:creator>
  <cp:lastModifiedBy>木子</cp:lastModifiedBy>
  <cp:lastPrinted>2016-09-07T11:50:00Z</cp:lastPrinted>
  <dcterms:modified xsi:type="dcterms:W3CDTF">2025-12-11T06:04:53Z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DEDBC8AD211B49B083A23E190C227D10_13</vt:lpwstr>
  </property>
  <property fmtid="{D5CDD505-2E9C-101B-9397-08002B2CF9AE}" pid="4" name="KSOTemplateDocerSaveRecord">
    <vt:lpwstr>eyJoZGlkIjoiMTVjMmU4ODNkNWZlZTE3YWVlNmYxMGEyNjZhMTQ1ZDIiLCJ1c2VySWQiOiI4MzEyOTAzMzkifQ==</vt:lpwstr>
  </property>
</Properties>
</file>